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062"/>
        <w:gridCol w:w="1745"/>
        <w:gridCol w:w="4492"/>
        <w:gridCol w:w="3315"/>
      </w:tblGrid>
      <w:tr w:rsidR="00DF501D" w:rsidTr="008E459F">
        <w:tc>
          <w:tcPr>
            <w:tcW w:w="15614" w:type="dxa"/>
            <w:gridSpan w:val="4"/>
            <w:shd w:val="clear" w:color="auto" w:fill="002060"/>
          </w:tcPr>
          <w:p w:rsidR="00DF501D" w:rsidRPr="005400F0" w:rsidRDefault="00DF501D" w:rsidP="00DF501D">
            <w:pPr>
              <w:jc w:val="center"/>
              <w:rPr>
                <w:rFonts w:asciiTheme="minorHAnsi" w:hAnsiTheme="minorHAnsi" w:cstheme="minorHAnsi"/>
                <w:b/>
                <w:sz w:val="22"/>
                <w:szCs w:val="22"/>
                <w:lang w:val="en-GB"/>
              </w:rPr>
            </w:pPr>
            <w:bookmarkStart w:id="0" w:name="_GoBack"/>
            <w:bookmarkEnd w:id="0"/>
          </w:p>
          <w:p w:rsidR="00DF501D" w:rsidRPr="005400F0" w:rsidRDefault="00DF501D" w:rsidP="00DF501D">
            <w:pPr>
              <w:jc w:val="center"/>
              <w:rPr>
                <w:rFonts w:asciiTheme="minorHAnsi" w:hAnsiTheme="minorHAnsi" w:cstheme="minorHAnsi"/>
                <w:sz w:val="36"/>
                <w:szCs w:val="36"/>
                <w:lang w:val="en-GB"/>
              </w:rPr>
            </w:pPr>
            <w:r w:rsidRPr="005400F0">
              <w:rPr>
                <w:rFonts w:asciiTheme="minorHAnsi" w:hAnsiTheme="minorHAnsi" w:cstheme="minorHAnsi"/>
                <w:b/>
                <w:sz w:val="36"/>
                <w:szCs w:val="36"/>
                <w:lang w:val="en-GB"/>
              </w:rPr>
              <w:t xml:space="preserve">Year </w:t>
            </w:r>
            <w:r w:rsidR="008E459F">
              <w:rPr>
                <w:rFonts w:asciiTheme="minorHAnsi" w:hAnsiTheme="minorHAnsi" w:cstheme="minorHAnsi"/>
                <w:b/>
                <w:sz w:val="36"/>
                <w:szCs w:val="36"/>
                <w:lang w:val="en-GB"/>
              </w:rPr>
              <w:t>6</w:t>
            </w:r>
            <w:r w:rsidRPr="005400F0">
              <w:rPr>
                <w:rFonts w:asciiTheme="minorHAnsi" w:hAnsiTheme="minorHAnsi" w:cstheme="minorHAnsi"/>
                <w:b/>
                <w:sz w:val="36"/>
                <w:szCs w:val="36"/>
                <w:lang w:val="en-GB"/>
              </w:rPr>
              <w:t xml:space="preserve">  - Building and assessing the conceptual understanding and learning – </w:t>
            </w:r>
            <w:r w:rsidR="00C23BA9" w:rsidRPr="005400F0">
              <w:rPr>
                <w:rFonts w:asciiTheme="minorHAnsi" w:hAnsiTheme="minorHAnsi" w:cstheme="minorHAnsi"/>
                <w:b/>
                <w:sz w:val="36"/>
                <w:szCs w:val="36"/>
                <w:lang w:val="en-GB"/>
              </w:rPr>
              <w:t>Measure</w:t>
            </w:r>
            <w:r w:rsidR="00F82895">
              <w:rPr>
                <w:rFonts w:asciiTheme="minorHAnsi" w:hAnsiTheme="minorHAnsi" w:cstheme="minorHAnsi"/>
                <w:b/>
                <w:sz w:val="36"/>
                <w:szCs w:val="36"/>
                <w:lang w:val="en-GB"/>
              </w:rPr>
              <w:t>ment</w:t>
            </w:r>
          </w:p>
          <w:p w:rsidR="00DF501D" w:rsidRPr="005400F0" w:rsidRDefault="00DF501D">
            <w:pPr>
              <w:rPr>
                <w:rFonts w:asciiTheme="minorHAnsi" w:hAnsiTheme="minorHAnsi" w:cstheme="minorHAnsi"/>
                <w:sz w:val="22"/>
                <w:szCs w:val="22"/>
              </w:rPr>
            </w:pPr>
          </w:p>
        </w:tc>
      </w:tr>
      <w:tr w:rsidR="00DF501D" w:rsidTr="00DF501D">
        <w:tc>
          <w:tcPr>
            <w:tcW w:w="7807" w:type="dxa"/>
            <w:gridSpan w:val="2"/>
          </w:tcPr>
          <w:p w:rsidR="001D3E41" w:rsidRPr="00894F95" w:rsidRDefault="001D3E41" w:rsidP="001D3E41">
            <w:pPr>
              <w:pStyle w:val="Default"/>
              <w:rPr>
                <w:color w:val="auto"/>
                <w:sz w:val="22"/>
                <w:szCs w:val="22"/>
              </w:rPr>
            </w:pPr>
            <w:r w:rsidRPr="00894F95">
              <w:rPr>
                <w:color w:val="auto"/>
                <w:sz w:val="22"/>
                <w:szCs w:val="22"/>
              </w:rPr>
              <w:t xml:space="preserve">Pupils should be taught to: </w:t>
            </w:r>
          </w:p>
          <w:p w:rsidR="00F82895" w:rsidRPr="00894F95" w:rsidRDefault="00F82895" w:rsidP="00F82895">
            <w:pPr>
              <w:pStyle w:val="Default"/>
              <w:rPr>
                <w:color w:val="auto"/>
                <w:sz w:val="20"/>
                <w:szCs w:val="20"/>
              </w:rPr>
            </w:pPr>
            <w:r w:rsidRPr="00894F95">
              <w:rPr>
                <w:color w:val="auto"/>
                <w:sz w:val="20"/>
                <w:szCs w:val="20"/>
              </w:rPr>
              <w:t xml:space="preserve">Pupils should be taught to: </w:t>
            </w:r>
          </w:p>
          <w:p w:rsidR="00F82895" w:rsidRPr="00894F95" w:rsidRDefault="00F82895" w:rsidP="00F82895">
            <w:pPr>
              <w:pStyle w:val="Default"/>
              <w:numPr>
                <w:ilvl w:val="0"/>
                <w:numId w:val="22"/>
              </w:numPr>
              <w:rPr>
                <w:color w:val="auto"/>
                <w:sz w:val="20"/>
                <w:szCs w:val="20"/>
              </w:rPr>
            </w:pPr>
            <w:r w:rsidRPr="00894F95">
              <w:rPr>
                <w:color w:val="auto"/>
                <w:sz w:val="20"/>
                <w:szCs w:val="20"/>
              </w:rPr>
              <w:t xml:space="preserve">solve problems involving the calculation and conversion of units of measure, using decimal notation up to three decimal places where appropriate </w:t>
            </w:r>
            <w:r w:rsidRPr="00894F95">
              <w:rPr>
                <w:color w:val="auto"/>
                <w:sz w:val="20"/>
                <w:szCs w:val="20"/>
              </w:rPr>
              <w:t></w:t>
            </w:r>
            <w:r w:rsidRPr="00894F95">
              <w:rPr>
                <w:color w:val="auto"/>
                <w:sz w:val="20"/>
                <w:szCs w:val="20"/>
              </w:rPr>
              <w:t xml:space="preserve">use, read, write and convert between standard units, converting measurements of length, mass, volume and time from a smaller unit of measure to a larger unit, and vice versa, using decimal notation to up to three decimal places </w:t>
            </w:r>
          </w:p>
          <w:p w:rsidR="00F82895" w:rsidRPr="00894F95" w:rsidRDefault="00F82895" w:rsidP="00F82895">
            <w:pPr>
              <w:pStyle w:val="Default"/>
              <w:numPr>
                <w:ilvl w:val="0"/>
                <w:numId w:val="22"/>
              </w:numPr>
              <w:rPr>
                <w:color w:val="auto"/>
                <w:sz w:val="20"/>
                <w:szCs w:val="20"/>
              </w:rPr>
            </w:pPr>
            <w:r w:rsidRPr="00894F95">
              <w:rPr>
                <w:color w:val="auto"/>
                <w:sz w:val="20"/>
                <w:szCs w:val="20"/>
              </w:rPr>
              <w:t>convert between miles and kilometres</w:t>
            </w:r>
          </w:p>
          <w:p w:rsidR="00F82895" w:rsidRPr="00894F95" w:rsidRDefault="00F82895" w:rsidP="00F82895">
            <w:pPr>
              <w:pStyle w:val="Default"/>
              <w:numPr>
                <w:ilvl w:val="0"/>
                <w:numId w:val="22"/>
              </w:numPr>
              <w:rPr>
                <w:color w:val="auto"/>
                <w:sz w:val="20"/>
                <w:szCs w:val="20"/>
              </w:rPr>
            </w:pPr>
            <w:r w:rsidRPr="00894F95">
              <w:rPr>
                <w:color w:val="auto"/>
                <w:sz w:val="20"/>
                <w:szCs w:val="20"/>
              </w:rPr>
              <w:t>recognise that shapes with the same areas can have different perimeters and vice versa</w:t>
            </w:r>
          </w:p>
          <w:p w:rsidR="00F82895" w:rsidRPr="00894F95" w:rsidRDefault="00F82895" w:rsidP="00F82895">
            <w:pPr>
              <w:pStyle w:val="Default"/>
              <w:numPr>
                <w:ilvl w:val="0"/>
                <w:numId w:val="22"/>
              </w:numPr>
              <w:rPr>
                <w:color w:val="auto"/>
                <w:sz w:val="20"/>
                <w:szCs w:val="20"/>
              </w:rPr>
            </w:pPr>
            <w:r w:rsidRPr="00894F95">
              <w:rPr>
                <w:color w:val="auto"/>
                <w:sz w:val="20"/>
                <w:szCs w:val="20"/>
              </w:rPr>
              <w:t xml:space="preserve">recognise when it is possible to use formulae for area and volume of shapes </w:t>
            </w:r>
          </w:p>
          <w:p w:rsidR="00F82895" w:rsidRPr="00894F95" w:rsidRDefault="00F82895" w:rsidP="00F82895">
            <w:pPr>
              <w:pStyle w:val="Default"/>
              <w:numPr>
                <w:ilvl w:val="0"/>
                <w:numId w:val="22"/>
              </w:numPr>
              <w:rPr>
                <w:color w:val="auto"/>
                <w:sz w:val="20"/>
                <w:szCs w:val="20"/>
              </w:rPr>
            </w:pPr>
            <w:r w:rsidRPr="00894F95">
              <w:rPr>
                <w:color w:val="auto"/>
                <w:sz w:val="20"/>
                <w:szCs w:val="20"/>
              </w:rPr>
              <w:t xml:space="preserve">calculate the area of parallelograms and triangles </w:t>
            </w:r>
          </w:p>
          <w:p w:rsidR="00F82895" w:rsidRDefault="00F82895" w:rsidP="00F82895">
            <w:pPr>
              <w:pStyle w:val="Default"/>
              <w:numPr>
                <w:ilvl w:val="0"/>
                <w:numId w:val="22"/>
              </w:numPr>
              <w:rPr>
                <w:color w:val="auto"/>
                <w:sz w:val="20"/>
                <w:szCs w:val="20"/>
              </w:rPr>
            </w:pPr>
            <w:r w:rsidRPr="00894F95">
              <w:rPr>
                <w:color w:val="auto"/>
                <w:sz w:val="20"/>
                <w:szCs w:val="20"/>
              </w:rPr>
              <w:t xml:space="preserve">calculate, estimate and compare volume of cubes and cuboids using standard units, including cubic centimetres (cm3) and cubic metres (m3), and extending to other units [for example, mm3 and km3]. </w:t>
            </w:r>
          </w:p>
          <w:p w:rsidR="00894F95" w:rsidRDefault="00894F95" w:rsidP="00894F95">
            <w:pPr>
              <w:pStyle w:val="Default"/>
              <w:rPr>
                <w:color w:val="auto"/>
                <w:sz w:val="20"/>
                <w:szCs w:val="20"/>
              </w:rPr>
            </w:pPr>
          </w:p>
          <w:p w:rsidR="00894F95" w:rsidRPr="00894F95" w:rsidRDefault="00894F95" w:rsidP="00894F95">
            <w:pPr>
              <w:pStyle w:val="Default"/>
              <w:rPr>
                <w:color w:val="auto"/>
                <w:sz w:val="20"/>
                <w:szCs w:val="20"/>
              </w:rPr>
            </w:pPr>
            <w:r w:rsidRPr="00894F95">
              <w:rPr>
                <w:noProof/>
                <w:color w:val="auto"/>
                <w:sz w:val="20"/>
                <w:szCs w:val="20"/>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solidFill>
                              <a:ln w="9525">
                                <a:solidFill>
                                  <a:srgbClr val="000000"/>
                                </a:solidFill>
                                <a:miter lim="800000"/>
                                <a:headEnd/>
                                <a:tailEnd/>
                              </a:ln>
                            </wps:spPr>
                            <wps:txbx>
                              <w:txbxContent>
                                <w:p w:rsidR="00894F95" w:rsidRPr="00894F95" w:rsidRDefault="00894F95" w:rsidP="00894F95">
                                  <w:pPr>
                                    <w:pStyle w:val="NLnormallist"/>
                                    <w:ind w:left="113" w:firstLine="0"/>
                                    <w:rPr>
                                      <w:rFonts w:ascii="Calibri" w:hAnsi="Calibri" w:cs="Calibri"/>
                                      <w:b/>
                                      <w:color w:val="FFFFFF" w:themeColor="background1"/>
                                    </w:rPr>
                                  </w:pPr>
                                  <w:r w:rsidRPr="00894F95">
                                    <w:rPr>
                                      <w:rFonts w:ascii="Calibri" w:hAnsi="Calibri" w:cs="Calibri"/>
                                      <w:b/>
                                      <w:color w:val="FFFFFF" w:themeColor="background1"/>
                                    </w:rPr>
                                    <w:t>See NCETM “Teaching for Mastery” Year 6 book – calculation, measures, statistics, algebra)</w:t>
                                  </w:r>
                                </w:p>
                                <w:p w:rsidR="00894F95" w:rsidRDefault="00247675" w:rsidP="00894F95">
                                  <w:hyperlink r:id="rId8" w:history="1">
                                    <w:r w:rsidR="00894F95" w:rsidRPr="00894F95">
                                      <w:rPr>
                                        <w:rStyle w:val="Hyperlink"/>
                                        <w:rFonts w:ascii="Calibri" w:hAnsi="Calibri" w:cs="Calibri"/>
                                        <w:color w:val="FFFFFF" w:themeColor="background1"/>
                                      </w:rPr>
                                      <w:t>https://www.ncetm.org.uk/public/files/23305653/Mastery_Assessment_Y6_Low_Res.pdf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" fillcolor="#1f497d [3215]">
                      <v:textbox style="mso-fit-shape-to-text:t">
                        <w:txbxContent>
                          <w:p w:rsidR="00894F95" w:rsidRPr="00894F95" w:rsidRDefault="00894F95" w:rsidP="00894F95">
                            <w:pPr>
                              <w:pStyle w:val="NLnormallist"/>
                              <w:ind w:left="113" w:firstLine="0"/>
                              <w:rPr>
                                <w:rFonts w:ascii="Calibri" w:hAnsi="Calibri" w:cs="Calibri"/>
                                <w:b/>
                                <w:color w:val="FFFFFF" w:themeColor="background1"/>
                              </w:rPr>
                            </w:pPr>
                            <w:r w:rsidRPr="00894F95">
                              <w:rPr>
                                <w:rFonts w:ascii="Calibri" w:hAnsi="Calibri" w:cs="Calibri"/>
                                <w:b/>
                                <w:color w:val="FFFFFF" w:themeColor="background1"/>
                              </w:rPr>
                              <w:t>See NCETM “Teaching for Mastery” Year 6 book – calculation, measures, statistics, algebra)</w:t>
                            </w:r>
                          </w:p>
                          <w:p w:rsidR="00894F95" w:rsidRDefault="00247675" w:rsidP="00894F95">
                            <w:hyperlink r:id="rId9" w:history="1">
                              <w:r w:rsidR="00894F95" w:rsidRPr="00894F95">
                                <w:rPr>
                                  <w:rStyle w:val="Hyperlink"/>
                                  <w:rFonts w:ascii="Calibri" w:hAnsi="Calibri" w:cs="Calibri"/>
                                  <w:color w:val="FFFFFF" w:themeColor="background1"/>
                                </w:rPr>
                                <w:t>https://www.ncetm.org.uk/public/files/23305653/Mastery_Assessment_Y6_Low_Res.pdf</w:t>
                              </w:r>
                            </w:hyperlink>
                          </w:p>
                        </w:txbxContent>
                      </v:textbox>
                    </v:shape>
                  </w:pict>
                </mc:Fallback>
              </mc:AlternateContent>
            </w:r>
          </w:p>
          <w:p w:rsidR="00F82895" w:rsidRDefault="00F82895" w:rsidP="001D3E41">
            <w:pPr>
              <w:pStyle w:val="Default"/>
              <w:rPr>
                <w:color w:val="auto"/>
                <w:sz w:val="22"/>
                <w:szCs w:val="22"/>
              </w:rPr>
            </w:pPr>
          </w:p>
          <w:p w:rsidR="00894F95" w:rsidRDefault="00894F95" w:rsidP="001D3E41">
            <w:pPr>
              <w:pStyle w:val="Default"/>
              <w:rPr>
                <w:color w:val="auto"/>
                <w:sz w:val="22"/>
                <w:szCs w:val="22"/>
              </w:rPr>
            </w:pPr>
          </w:p>
          <w:p w:rsidR="00894F95" w:rsidRDefault="00894F95" w:rsidP="001D3E41">
            <w:pPr>
              <w:pStyle w:val="Default"/>
              <w:rPr>
                <w:color w:val="auto"/>
                <w:sz w:val="22"/>
                <w:szCs w:val="22"/>
              </w:rPr>
            </w:pPr>
          </w:p>
          <w:p w:rsidR="00894F95" w:rsidRPr="00894F95" w:rsidRDefault="00894F95" w:rsidP="001D3E41">
            <w:pPr>
              <w:pStyle w:val="Default"/>
              <w:rPr>
                <w:color w:val="auto"/>
                <w:sz w:val="22"/>
                <w:szCs w:val="22"/>
              </w:rPr>
            </w:pPr>
          </w:p>
          <w:p w:rsidR="00DF501D" w:rsidRPr="00894F95" w:rsidRDefault="001D3E41" w:rsidP="008E459F">
            <w:pPr>
              <w:pStyle w:val="Default"/>
              <w:ind w:left="360"/>
              <w:rPr>
                <w:sz w:val="22"/>
                <w:szCs w:val="22"/>
              </w:rPr>
            </w:pPr>
            <w:r w:rsidRPr="00894F95">
              <w:rPr>
                <w:b/>
                <w:color w:val="auto"/>
                <w:sz w:val="22"/>
                <w:szCs w:val="22"/>
              </w:rPr>
              <w:t xml:space="preserve"> </w:t>
            </w:r>
          </w:p>
        </w:tc>
        <w:tc>
          <w:tcPr>
            <w:tcW w:w="7807" w:type="dxa"/>
            <w:gridSpan w:val="2"/>
          </w:tcPr>
          <w:p w:rsidR="00DF501D" w:rsidRPr="00894F95" w:rsidRDefault="00DF501D" w:rsidP="00DF501D">
            <w:pPr>
              <w:pStyle w:val="NLnormallist"/>
              <w:tabs>
                <w:tab w:val="left" w:pos="1604"/>
              </w:tabs>
              <w:spacing w:line="240" w:lineRule="auto"/>
              <w:ind w:left="0" w:firstLine="0"/>
              <w:rPr>
                <w:rFonts w:cs="Arial"/>
                <w:b/>
                <w:sz w:val="22"/>
                <w:szCs w:val="22"/>
              </w:rPr>
            </w:pPr>
            <w:r w:rsidRPr="00894F95">
              <w:rPr>
                <w:rFonts w:cs="Arial"/>
                <w:b/>
                <w:sz w:val="22"/>
                <w:szCs w:val="22"/>
              </w:rPr>
              <w:t>Non-statutory guidance:</w:t>
            </w:r>
          </w:p>
          <w:p w:rsidR="00F82895" w:rsidRPr="00894F95" w:rsidRDefault="00F82895" w:rsidP="00C23BA9">
            <w:pPr>
              <w:pStyle w:val="Default"/>
              <w:rPr>
                <w:sz w:val="22"/>
                <w:szCs w:val="22"/>
              </w:rPr>
            </w:pPr>
          </w:p>
          <w:p w:rsidR="00F82895" w:rsidRPr="00894F95" w:rsidRDefault="00F82895" w:rsidP="00F82895">
            <w:pPr>
              <w:pStyle w:val="Default"/>
              <w:rPr>
                <w:sz w:val="23"/>
                <w:szCs w:val="23"/>
              </w:rPr>
            </w:pPr>
            <w:r w:rsidRPr="00894F95">
              <w:rPr>
                <w:sz w:val="23"/>
                <w:szCs w:val="23"/>
              </w:rPr>
              <w:t xml:space="preserve">They connect conversion (e.g. from kilometres to miles) to a graphical representation as preparation for understanding linear/proportional graphs. </w:t>
            </w:r>
          </w:p>
          <w:p w:rsidR="00F82895" w:rsidRPr="00894F95" w:rsidRDefault="00F82895" w:rsidP="00F82895">
            <w:pPr>
              <w:pStyle w:val="Default"/>
              <w:rPr>
                <w:sz w:val="23"/>
                <w:szCs w:val="23"/>
              </w:rPr>
            </w:pPr>
            <w:r w:rsidRPr="00894F95">
              <w:rPr>
                <w:sz w:val="23"/>
                <w:szCs w:val="23"/>
              </w:rPr>
              <w:t xml:space="preserve">They know approximate conversions and are able to tell if an answer is sensible. </w:t>
            </w:r>
          </w:p>
          <w:p w:rsidR="00F82895" w:rsidRPr="00894F95" w:rsidRDefault="00F82895" w:rsidP="00F82895">
            <w:pPr>
              <w:pStyle w:val="Default"/>
              <w:rPr>
                <w:sz w:val="23"/>
                <w:szCs w:val="23"/>
              </w:rPr>
            </w:pPr>
            <w:r w:rsidRPr="00894F95">
              <w:rPr>
                <w:sz w:val="23"/>
                <w:szCs w:val="23"/>
              </w:rPr>
              <w:t xml:space="preserve">Using the number line, pupils use, add and subtract positive and negative integers for measures such as temperature. </w:t>
            </w:r>
          </w:p>
          <w:p w:rsidR="00F82895" w:rsidRPr="00894F95" w:rsidRDefault="00F82895" w:rsidP="00F82895">
            <w:pPr>
              <w:pStyle w:val="Default"/>
              <w:rPr>
                <w:sz w:val="23"/>
                <w:szCs w:val="23"/>
              </w:rPr>
            </w:pPr>
            <w:r w:rsidRPr="00894F95">
              <w:rPr>
                <w:sz w:val="23"/>
                <w:szCs w:val="23"/>
              </w:rPr>
              <w:t xml:space="preserve">They relate the area of rectangles to parallelograms and triangles, e.g. by dissection, and calculate their areas, understanding and using the formulae to do this. </w:t>
            </w:r>
          </w:p>
          <w:p w:rsidR="00DF501D" w:rsidRPr="00894F95" w:rsidRDefault="00F82895" w:rsidP="00F82895">
            <w:pPr>
              <w:pStyle w:val="Default"/>
              <w:rPr>
                <w:sz w:val="22"/>
                <w:szCs w:val="22"/>
              </w:rPr>
            </w:pPr>
            <w:r w:rsidRPr="00894F95">
              <w:rPr>
                <w:sz w:val="23"/>
                <w:szCs w:val="23"/>
              </w:rPr>
              <w:t xml:space="preserve">Pupils could be introduced to compound units for speed, such as miles per hour, and apply their knowledge in science or other subjects as appropriate. </w:t>
            </w:r>
          </w:p>
        </w:tc>
      </w:tr>
      <w:tr w:rsidR="00DF501D" w:rsidTr="00894F95">
        <w:tc>
          <w:tcPr>
            <w:tcW w:w="6062" w:type="dxa"/>
          </w:tcPr>
          <w:p w:rsidR="00DF501D" w:rsidRPr="00894F95" w:rsidRDefault="00DF501D" w:rsidP="00DF501D">
            <w:pPr>
              <w:jc w:val="center"/>
              <w:rPr>
                <w:rFonts w:cs="Arial"/>
                <w:b/>
                <w:sz w:val="22"/>
                <w:szCs w:val="22"/>
              </w:rPr>
            </w:pPr>
            <w:r w:rsidRPr="00894F95">
              <w:rPr>
                <w:rFonts w:cs="Arial"/>
                <w:b/>
                <w:sz w:val="22"/>
                <w:szCs w:val="22"/>
              </w:rPr>
              <w:t>Autumn</w:t>
            </w:r>
          </w:p>
        </w:tc>
        <w:tc>
          <w:tcPr>
            <w:tcW w:w="6237" w:type="dxa"/>
            <w:gridSpan w:val="2"/>
          </w:tcPr>
          <w:p w:rsidR="00DF501D" w:rsidRPr="00894F95" w:rsidRDefault="00DF501D" w:rsidP="00DF501D">
            <w:pPr>
              <w:jc w:val="center"/>
              <w:rPr>
                <w:rFonts w:cs="Arial"/>
                <w:b/>
                <w:sz w:val="22"/>
                <w:szCs w:val="22"/>
              </w:rPr>
            </w:pPr>
            <w:r w:rsidRPr="00894F95">
              <w:rPr>
                <w:rFonts w:cs="Arial"/>
                <w:b/>
                <w:sz w:val="22"/>
                <w:szCs w:val="22"/>
              </w:rPr>
              <w:t>Spring</w:t>
            </w:r>
          </w:p>
        </w:tc>
        <w:tc>
          <w:tcPr>
            <w:tcW w:w="3315" w:type="dxa"/>
          </w:tcPr>
          <w:p w:rsidR="00DF501D" w:rsidRPr="00894F95" w:rsidRDefault="00DF501D" w:rsidP="00DF501D">
            <w:pPr>
              <w:jc w:val="center"/>
              <w:rPr>
                <w:rFonts w:cs="Arial"/>
                <w:b/>
                <w:sz w:val="22"/>
                <w:szCs w:val="22"/>
              </w:rPr>
            </w:pPr>
            <w:r w:rsidRPr="00894F95">
              <w:rPr>
                <w:rFonts w:cs="Arial"/>
                <w:b/>
                <w:sz w:val="22"/>
                <w:szCs w:val="22"/>
              </w:rPr>
              <w:t>Summer</w:t>
            </w:r>
          </w:p>
        </w:tc>
      </w:tr>
      <w:tr w:rsidR="00C23BA9" w:rsidTr="00894F95">
        <w:tc>
          <w:tcPr>
            <w:tcW w:w="6062" w:type="dxa"/>
          </w:tcPr>
          <w:p w:rsidR="00894F95" w:rsidRPr="00894F95" w:rsidRDefault="00894F95" w:rsidP="00894F95">
            <w:pPr>
              <w:pStyle w:val="Default"/>
              <w:rPr>
                <w:b/>
                <w:color w:val="auto"/>
                <w:sz w:val="20"/>
                <w:szCs w:val="20"/>
              </w:rPr>
            </w:pPr>
            <w:r w:rsidRPr="00894F95">
              <w:rPr>
                <w:b/>
                <w:color w:val="auto"/>
                <w:sz w:val="20"/>
                <w:szCs w:val="20"/>
              </w:rPr>
              <w:t xml:space="preserve">Ensure, through mental and aural work, as well as work on calculation, that children are confident with all standard units and conversions, including metric and imperial, and solving time problems including with analogue as well as digital 12 and 24 hour clock. (LINK TO NUMBER AND PLACE VALUE AND CALCULATION)  </w:t>
            </w:r>
          </w:p>
          <w:p w:rsidR="00894F95" w:rsidRPr="00894F95" w:rsidRDefault="00894F95" w:rsidP="00894F95">
            <w:pPr>
              <w:pStyle w:val="ListParagraph"/>
              <w:tabs>
                <w:tab w:val="left" w:pos="360"/>
                <w:tab w:val="left" w:pos="864"/>
              </w:tabs>
              <w:ind w:left="0" w:right="792"/>
              <w:textAlignment w:val="baseline"/>
              <w:rPr>
                <w:rFonts w:eastAsia="Arial" w:cs="Arial"/>
                <w:b/>
                <w:color w:val="000000"/>
                <w:sz w:val="20"/>
              </w:rPr>
            </w:pPr>
            <w:r w:rsidRPr="00894F95">
              <w:rPr>
                <w:rFonts w:eastAsia="Arial" w:cs="Arial"/>
                <w:b/>
                <w:color w:val="000000"/>
                <w:sz w:val="20"/>
              </w:rPr>
              <w:t>In a range of contexts,  including all measures (including time and money)</w:t>
            </w:r>
          </w:p>
          <w:p w:rsidR="00894F95" w:rsidRPr="00894F95" w:rsidRDefault="00894F95" w:rsidP="00894F95">
            <w:pPr>
              <w:pStyle w:val="Default"/>
              <w:rPr>
                <w:color w:val="auto"/>
                <w:sz w:val="20"/>
                <w:szCs w:val="20"/>
              </w:rPr>
            </w:pPr>
          </w:p>
          <w:p w:rsidR="00894F95" w:rsidRPr="00894F95" w:rsidRDefault="00894F95" w:rsidP="00894F95">
            <w:pPr>
              <w:pStyle w:val="Default"/>
              <w:numPr>
                <w:ilvl w:val="0"/>
                <w:numId w:val="22"/>
              </w:numPr>
              <w:rPr>
                <w:color w:val="auto"/>
                <w:sz w:val="20"/>
                <w:szCs w:val="20"/>
              </w:rPr>
            </w:pPr>
            <w:r w:rsidRPr="00894F95">
              <w:rPr>
                <w:color w:val="auto"/>
                <w:sz w:val="20"/>
                <w:szCs w:val="20"/>
              </w:rPr>
              <w:t xml:space="preserve">Solve problems involving using, reading, writing and converting between standard units, converting measurements of length, mass, volume and </w:t>
            </w:r>
            <w:r w:rsidRPr="00894F95">
              <w:rPr>
                <w:b/>
                <w:color w:val="auto"/>
                <w:sz w:val="20"/>
                <w:szCs w:val="20"/>
              </w:rPr>
              <w:t>time</w:t>
            </w:r>
            <w:r w:rsidRPr="00894F95">
              <w:rPr>
                <w:color w:val="auto"/>
                <w:sz w:val="20"/>
                <w:szCs w:val="20"/>
              </w:rPr>
              <w:t xml:space="preserve"> from a smaller unit of measure to a larger unit, and vice versa, using decimal notation to up to three decimal places </w:t>
            </w:r>
            <w:r w:rsidRPr="00894F95">
              <w:rPr>
                <w:color w:val="auto"/>
                <w:sz w:val="20"/>
                <w:szCs w:val="20"/>
              </w:rPr>
              <w:lastRenderedPageBreak/>
              <w:t xml:space="preserve">(LINK TO NUMBER AND PLACE VALUE AND CALCULATION) </w:t>
            </w:r>
          </w:p>
          <w:p w:rsidR="00894F95" w:rsidRPr="00894F95" w:rsidRDefault="00894F95" w:rsidP="00894F95">
            <w:pPr>
              <w:pStyle w:val="ListParagraph"/>
              <w:numPr>
                <w:ilvl w:val="0"/>
                <w:numId w:val="22"/>
              </w:numPr>
              <w:rPr>
                <w:rFonts w:cs="Arial"/>
                <w:bCs/>
                <w:sz w:val="20"/>
                <w:szCs w:val="20"/>
              </w:rPr>
            </w:pPr>
            <w:r w:rsidRPr="00894F95">
              <w:rPr>
                <w:rFonts w:cs="Arial"/>
                <w:bCs/>
                <w:sz w:val="20"/>
                <w:szCs w:val="20"/>
              </w:rPr>
              <w:t xml:space="preserve">Convert between miles and </w:t>
            </w:r>
            <w:proofErr w:type="spellStart"/>
            <w:r w:rsidRPr="00894F95">
              <w:rPr>
                <w:rFonts w:cs="Arial"/>
                <w:bCs/>
                <w:sz w:val="20"/>
                <w:szCs w:val="20"/>
              </w:rPr>
              <w:t>kilometres</w:t>
            </w:r>
            <w:proofErr w:type="spellEnd"/>
            <w:r w:rsidRPr="00894F95">
              <w:rPr>
                <w:rFonts w:cs="Arial"/>
                <w:bCs/>
                <w:sz w:val="20"/>
                <w:szCs w:val="20"/>
              </w:rPr>
              <w:t xml:space="preserve"> (LINK TO NUMBER AND PLACE VALUE AND CALCULATION)</w:t>
            </w:r>
          </w:p>
          <w:p w:rsidR="00894F95" w:rsidRPr="00894F95" w:rsidRDefault="00894F95" w:rsidP="00894F95">
            <w:pPr>
              <w:pStyle w:val="Default"/>
              <w:ind w:left="360"/>
              <w:rPr>
                <w:color w:val="auto"/>
                <w:sz w:val="20"/>
                <w:szCs w:val="20"/>
              </w:rPr>
            </w:pPr>
          </w:p>
          <w:p w:rsidR="00894F95" w:rsidRPr="00894F95" w:rsidRDefault="00894F95" w:rsidP="00894F95">
            <w:pPr>
              <w:pStyle w:val="Default"/>
              <w:ind w:left="360"/>
              <w:rPr>
                <w:color w:val="auto"/>
                <w:sz w:val="20"/>
                <w:szCs w:val="20"/>
              </w:rPr>
            </w:pPr>
          </w:p>
          <w:p w:rsidR="00894F95" w:rsidRPr="00894F95" w:rsidRDefault="00894F95" w:rsidP="00894F95">
            <w:pPr>
              <w:pStyle w:val="Default"/>
              <w:ind w:left="360"/>
              <w:rPr>
                <w:color w:val="auto"/>
                <w:sz w:val="20"/>
                <w:szCs w:val="20"/>
              </w:rPr>
            </w:pPr>
          </w:p>
          <w:p w:rsidR="00894F95" w:rsidRPr="00894F95" w:rsidRDefault="00894F95" w:rsidP="00894F95">
            <w:pPr>
              <w:pStyle w:val="Default"/>
              <w:numPr>
                <w:ilvl w:val="0"/>
                <w:numId w:val="22"/>
              </w:numPr>
              <w:rPr>
                <w:color w:val="auto"/>
                <w:sz w:val="20"/>
                <w:szCs w:val="20"/>
              </w:rPr>
            </w:pPr>
            <w:r w:rsidRPr="00894F95">
              <w:rPr>
                <w:color w:val="auto"/>
                <w:sz w:val="20"/>
                <w:szCs w:val="20"/>
              </w:rPr>
              <w:t>recognise that shapes with the same areas can have different perimeters and vice versa (LINK TO CALCULATION)</w:t>
            </w:r>
          </w:p>
          <w:p w:rsidR="00894F95" w:rsidRPr="00894F95" w:rsidRDefault="00894F95" w:rsidP="00894F95">
            <w:pPr>
              <w:pStyle w:val="Default"/>
              <w:numPr>
                <w:ilvl w:val="0"/>
                <w:numId w:val="22"/>
              </w:numPr>
              <w:rPr>
                <w:color w:val="auto"/>
                <w:sz w:val="20"/>
                <w:szCs w:val="20"/>
              </w:rPr>
            </w:pPr>
            <w:r w:rsidRPr="00894F95">
              <w:rPr>
                <w:color w:val="auto"/>
                <w:sz w:val="20"/>
                <w:szCs w:val="20"/>
              </w:rPr>
              <w:t>recognise when it is possible to use formulae for area and volume of shapes (LINK TO CALCULATION)</w:t>
            </w:r>
          </w:p>
          <w:p w:rsidR="00894F95" w:rsidRPr="00894F95" w:rsidRDefault="00894F95" w:rsidP="00894F95">
            <w:pPr>
              <w:pStyle w:val="Default"/>
              <w:numPr>
                <w:ilvl w:val="0"/>
                <w:numId w:val="22"/>
              </w:numPr>
              <w:rPr>
                <w:color w:val="auto"/>
                <w:sz w:val="20"/>
                <w:szCs w:val="20"/>
              </w:rPr>
            </w:pPr>
            <w:r w:rsidRPr="00894F95">
              <w:rPr>
                <w:color w:val="auto"/>
                <w:sz w:val="20"/>
                <w:szCs w:val="20"/>
              </w:rPr>
              <w:t>calculate the area of parallelograms and triangles (LINK TO CALCULATION)</w:t>
            </w:r>
          </w:p>
          <w:p w:rsidR="00894F95" w:rsidRPr="00894F95" w:rsidRDefault="00894F95" w:rsidP="00894F95">
            <w:pPr>
              <w:pStyle w:val="Default"/>
              <w:numPr>
                <w:ilvl w:val="0"/>
                <w:numId w:val="22"/>
              </w:numPr>
              <w:rPr>
                <w:color w:val="auto"/>
                <w:sz w:val="20"/>
                <w:szCs w:val="20"/>
              </w:rPr>
            </w:pPr>
            <w:r w:rsidRPr="00894F95">
              <w:rPr>
                <w:color w:val="auto"/>
                <w:sz w:val="20"/>
                <w:szCs w:val="20"/>
              </w:rPr>
              <w:t>calculate, estimate and compare volume of cubes and cuboids using standard units, including cubic centimetres (cm3) and cubic metres (m3), and extending to other units [for example, mm3 and km3] (LINK TO CALCULATION)</w:t>
            </w:r>
          </w:p>
          <w:p w:rsidR="00C23BA9" w:rsidRPr="00894F95" w:rsidRDefault="00C23BA9" w:rsidP="00C23BA9">
            <w:pPr>
              <w:pStyle w:val="Default"/>
              <w:rPr>
                <w:sz w:val="22"/>
                <w:szCs w:val="22"/>
              </w:rPr>
            </w:pPr>
          </w:p>
        </w:tc>
        <w:tc>
          <w:tcPr>
            <w:tcW w:w="6237" w:type="dxa"/>
            <w:gridSpan w:val="2"/>
          </w:tcPr>
          <w:p w:rsidR="00894F95" w:rsidRPr="00894F95" w:rsidRDefault="00894F95" w:rsidP="00894F95">
            <w:pPr>
              <w:pStyle w:val="Default"/>
              <w:rPr>
                <w:b/>
                <w:color w:val="auto"/>
                <w:sz w:val="20"/>
                <w:szCs w:val="20"/>
              </w:rPr>
            </w:pPr>
            <w:r w:rsidRPr="00894F95">
              <w:rPr>
                <w:b/>
                <w:color w:val="auto"/>
                <w:sz w:val="20"/>
                <w:szCs w:val="20"/>
              </w:rPr>
              <w:lastRenderedPageBreak/>
              <w:t xml:space="preserve">Ensure, through mental and aural work, as well as work on calculation, that children are confident with all standard units and conversions, including metric and imperial, and solving time problems including with analogue as well as digital 12 and 24 hour clock.   </w:t>
            </w:r>
          </w:p>
          <w:p w:rsidR="00894F95" w:rsidRPr="00894F95" w:rsidRDefault="00894F95" w:rsidP="00894F95">
            <w:pPr>
              <w:pStyle w:val="Default"/>
              <w:rPr>
                <w:bCs/>
                <w:sz w:val="20"/>
                <w:szCs w:val="20"/>
              </w:rPr>
            </w:pPr>
          </w:p>
          <w:p w:rsidR="00894F95" w:rsidRPr="00894F95" w:rsidRDefault="00894F95" w:rsidP="00894F95">
            <w:pPr>
              <w:pStyle w:val="ListParagraph"/>
              <w:tabs>
                <w:tab w:val="left" w:pos="360"/>
                <w:tab w:val="left" w:pos="864"/>
              </w:tabs>
              <w:ind w:left="0" w:right="792"/>
              <w:textAlignment w:val="baseline"/>
              <w:rPr>
                <w:rFonts w:eastAsia="Arial" w:cs="Arial"/>
                <w:b/>
                <w:color w:val="000000"/>
                <w:sz w:val="20"/>
              </w:rPr>
            </w:pPr>
            <w:r w:rsidRPr="00894F95">
              <w:rPr>
                <w:rFonts w:eastAsia="Arial" w:cs="Arial"/>
                <w:b/>
                <w:color w:val="000000"/>
                <w:sz w:val="20"/>
              </w:rPr>
              <w:t>In a range of contexts,  including all measures (including time and money)</w:t>
            </w:r>
          </w:p>
          <w:p w:rsidR="00894F95" w:rsidRPr="00894F95" w:rsidRDefault="00894F95" w:rsidP="00894F95">
            <w:pPr>
              <w:pStyle w:val="ListParagraph"/>
              <w:numPr>
                <w:ilvl w:val="0"/>
                <w:numId w:val="14"/>
              </w:numPr>
              <w:rPr>
                <w:rFonts w:cs="Arial"/>
                <w:bCs/>
                <w:sz w:val="20"/>
                <w:szCs w:val="20"/>
              </w:rPr>
            </w:pPr>
            <w:r w:rsidRPr="00894F95">
              <w:rPr>
                <w:rFonts w:cs="Arial"/>
                <w:bCs/>
                <w:sz w:val="20"/>
                <w:szCs w:val="20"/>
              </w:rPr>
              <w:t>Solve problems involving the calculation and conversion of units of measure, using decimal notation up to three decimal places where appropriate (LINK TO NUMBER AND PLACE VALUE CALCULATION)</w:t>
            </w:r>
          </w:p>
          <w:p w:rsidR="00894F95" w:rsidRPr="00894F95" w:rsidRDefault="00894F95" w:rsidP="00894F95">
            <w:pPr>
              <w:pStyle w:val="ListParagraph"/>
              <w:numPr>
                <w:ilvl w:val="0"/>
                <w:numId w:val="14"/>
              </w:numPr>
              <w:rPr>
                <w:rFonts w:cs="Arial"/>
                <w:bCs/>
                <w:sz w:val="20"/>
                <w:szCs w:val="20"/>
              </w:rPr>
            </w:pPr>
            <w:r w:rsidRPr="00894F95">
              <w:rPr>
                <w:rFonts w:cs="Arial"/>
                <w:bCs/>
                <w:sz w:val="20"/>
                <w:szCs w:val="20"/>
              </w:rPr>
              <w:t xml:space="preserve">Use , read, write and convert between standard units, converting measurements of length, mass, volume and time </w:t>
            </w:r>
            <w:r w:rsidRPr="00894F95">
              <w:rPr>
                <w:rFonts w:cs="Arial"/>
                <w:bCs/>
                <w:sz w:val="20"/>
                <w:szCs w:val="20"/>
              </w:rPr>
              <w:lastRenderedPageBreak/>
              <w:t xml:space="preserve">from a smaller unit of measure to a larger unit, and </w:t>
            </w:r>
            <w:proofErr w:type="spellStart"/>
            <w:r w:rsidRPr="00894F95">
              <w:rPr>
                <w:rFonts w:cs="Arial"/>
                <w:bCs/>
                <w:sz w:val="20"/>
                <w:szCs w:val="20"/>
              </w:rPr>
              <w:t>visa</w:t>
            </w:r>
            <w:proofErr w:type="spellEnd"/>
            <w:r w:rsidRPr="00894F95">
              <w:rPr>
                <w:rFonts w:cs="Arial"/>
                <w:bCs/>
                <w:sz w:val="20"/>
                <w:szCs w:val="20"/>
              </w:rPr>
              <w:t xml:space="preserve"> versa, using decimal notation to up to three decimal places (LINK TO CALCULATION)</w:t>
            </w:r>
          </w:p>
          <w:p w:rsidR="00894F95" w:rsidRPr="00894F95" w:rsidRDefault="00894F95" w:rsidP="00894F95">
            <w:pPr>
              <w:pStyle w:val="ListParagraph"/>
              <w:numPr>
                <w:ilvl w:val="0"/>
                <w:numId w:val="14"/>
              </w:numPr>
              <w:rPr>
                <w:rFonts w:cs="Arial"/>
                <w:bCs/>
                <w:sz w:val="20"/>
                <w:szCs w:val="20"/>
              </w:rPr>
            </w:pPr>
            <w:r w:rsidRPr="00894F95">
              <w:rPr>
                <w:rFonts w:cs="Arial"/>
                <w:bCs/>
                <w:sz w:val="20"/>
                <w:szCs w:val="20"/>
              </w:rPr>
              <w:t xml:space="preserve">Convert between miles and </w:t>
            </w:r>
            <w:proofErr w:type="spellStart"/>
            <w:r w:rsidRPr="00894F95">
              <w:rPr>
                <w:rFonts w:cs="Arial"/>
                <w:bCs/>
                <w:sz w:val="20"/>
                <w:szCs w:val="20"/>
              </w:rPr>
              <w:t>kilometres</w:t>
            </w:r>
            <w:proofErr w:type="spellEnd"/>
            <w:r w:rsidRPr="00894F95">
              <w:rPr>
                <w:rFonts w:cs="Arial"/>
                <w:bCs/>
                <w:sz w:val="20"/>
                <w:szCs w:val="20"/>
              </w:rPr>
              <w:t xml:space="preserve"> (LINK TO NUMBER AND PLACE VALUE AND CALCULATION)</w:t>
            </w:r>
          </w:p>
          <w:p w:rsidR="00894F95" w:rsidRPr="00894F95" w:rsidRDefault="00894F95" w:rsidP="00894F95">
            <w:pPr>
              <w:pStyle w:val="Default"/>
              <w:rPr>
                <w:bCs/>
                <w:sz w:val="20"/>
                <w:szCs w:val="20"/>
              </w:rPr>
            </w:pPr>
          </w:p>
          <w:p w:rsidR="00894F95" w:rsidRPr="00894F95" w:rsidRDefault="00894F95" w:rsidP="00894F95">
            <w:pPr>
              <w:pStyle w:val="Default"/>
              <w:numPr>
                <w:ilvl w:val="0"/>
                <w:numId w:val="14"/>
              </w:numPr>
              <w:rPr>
                <w:bCs/>
                <w:sz w:val="20"/>
                <w:szCs w:val="20"/>
              </w:rPr>
            </w:pPr>
            <w:r w:rsidRPr="00894F95">
              <w:rPr>
                <w:color w:val="auto"/>
                <w:sz w:val="20"/>
                <w:szCs w:val="20"/>
              </w:rPr>
              <w:t>recognise when it is possible to use formulae for area and volume of shapes (LINK TO ALGEBRA AND CALCULATION)</w:t>
            </w:r>
          </w:p>
          <w:p w:rsidR="00894F95" w:rsidRPr="00894F95" w:rsidRDefault="00894F95" w:rsidP="00894F95">
            <w:pPr>
              <w:pStyle w:val="ListParagraph"/>
              <w:ind w:left="0"/>
              <w:rPr>
                <w:rFonts w:cs="Arial"/>
                <w:bCs/>
                <w:sz w:val="20"/>
                <w:szCs w:val="20"/>
              </w:rPr>
            </w:pPr>
          </w:p>
          <w:p w:rsidR="00C23BA9" w:rsidRPr="00894F95" w:rsidRDefault="00C23BA9" w:rsidP="001D3E41">
            <w:pPr>
              <w:pStyle w:val="Default"/>
              <w:rPr>
                <w:sz w:val="22"/>
                <w:szCs w:val="22"/>
              </w:rPr>
            </w:pPr>
          </w:p>
        </w:tc>
        <w:tc>
          <w:tcPr>
            <w:tcW w:w="3315" w:type="dxa"/>
          </w:tcPr>
          <w:p w:rsidR="00894F95" w:rsidRPr="00894F95" w:rsidRDefault="00894F95" w:rsidP="00894F95">
            <w:pPr>
              <w:pStyle w:val="Default"/>
              <w:rPr>
                <w:sz w:val="20"/>
                <w:szCs w:val="20"/>
              </w:rPr>
            </w:pPr>
            <w:r w:rsidRPr="00894F95">
              <w:rPr>
                <w:sz w:val="20"/>
                <w:szCs w:val="20"/>
              </w:rPr>
              <w:lastRenderedPageBreak/>
              <w:t>Revision</w:t>
            </w:r>
          </w:p>
          <w:p w:rsidR="00894F95" w:rsidRPr="00894F95" w:rsidRDefault="00894F95" w:rsidP="00894F95">
            <w:pPr>
              <w:pStyle w:val="Default"/>
              <w:rPr>
                <w:sz w:val="20"/>
                <w:szCs w:val="20"/>
              </w:rPr>
            </w:pPr>
          </w:p>
          <w:p w:rsidR="00894F95" w:rsidRPr="00894F95" w:rsidRDefault="00894F95" w:rsidP="00894F95">
            <w:pPr>
              <w:pStyle w:val="Default"/>
              <w:rPr>
                <w:sz w:val="20"/>
                <w:szCs w:val="20"/>
              </w:rPr>
            </w:pPr>
          </w:p>
          <w:p w:rsidR="00894F95" w:rsidRPr="00894F95" w:rsidRDefault="00894F95" w:rsidP="00894F95">
            <w:pPr>
              <w:pStyle w:val="Default"/>
              <w:rPr>
                <w:sz w:val="20"/>
                <w:szCs w:val="20"/>
              </w:rPr>
            </w:pPr>
          </w:p>
          <w:p w:rsidR="00894F95" w:rsidRPr="00894F95" w:rsidRDefault="00894F95" w:rsidP="00894F95">
            <w:pPr>
              <w:pStyle w:val="Default"/>
              <w:rPr>
                <w:sz w:val="20"/>
                <w:szCs w:val="20"/>
              </w:rPr>
            </w:pPr>
          </w:p>
          <w:p w:rsidR="00C23BA9" w:rsidRPr="00894F95" w:rsidRDefault="00894F95" w:rsidP="00894F95">
            <w:pPr>
              <w:pStyle w:val="Default"/>
              <w:rPr>
                <w:sz w:val="22"/>
                <w:szCs w:val="22"/>
              </w:rPr>
            </w:pPr>
            <w:r w:rsidRPr="00894F95">
              <w:rPr>
                <w:sz w:val="20"/>
                <w:szCs w:val="20"/>
              </w:rPr>
              <w:t>Continue to use, apply and embed learning on all measures within transition units.</w:t>
            </w:r>
          </w:p>
        </w:tc>
      </w:tr>
    </w:tbl>
    <w:p w:rsidR="004369D1" w:rsidRDefault="004369D1"/>
    <w:p w:rsidR="00C23BA9" w:rsidRDefault="00C23BA9"/>
    <w:tbl>
      <w:tblPr>
        <w:tblStyle w:val="TableGrid"/>
        <w:tblW w:w="0" w:type="auto"/>
        <w:tblLook w:val="04A0" w:firstRow="1" w:lastRow="0" w:firstColumn="1" w:lastColumn="0" w:noHBand="0" w:noVBand="1"/>
      </w:tblPr>
      <w:tblGrid>
        <w:gridCol w:w="12441"/>
        <w:gridCol w:w="3173"/>
      </w:tblGrid>
      <w:tr w:rsidR="004C36DC" w:rsidTr="00B17021">
        <w:tc>
          <w:tcPr>
            <w:tcW w:w="12441" w:type="dxa"/>
          </w:tcPr>
          <w:p w:rsidR="004C36DC" w:rsidRPr="004C36DC" w:rsidRDefault="004C36DC" w:rsidP="00D034EA">
            <w:pPr>
              <w:pStyle w:val="Default"/>
              <w:rPr>
                <w:rFonts w:asciiTheme="minorHAnsi" w:hAnsiTheme="minorHAnsi" w:cstheme="minorHAnsi"/>
              </w:rPr>
            </w:pPr>
            <w:r w:rsidRPr="004C36DC">
              <w:rPr>
                <w:rFonts w:asciiTheme="minorHAnsi" w:hAnsiTheme="minorHAnsi" w:cstheme="minorHAnsi"/>
              </w:rPr>
              <w:t>Key questions:</w:t>
            </w:r>
          </w:p>
          <w:p w:rsidR="004C36DC" w:rsidRPr="004C36DC" w:rsidRDefault="004C36DC" w:rsidP="004C36DC">
            <w:pPr>
              <w:pStyle w:val="Default"/>
              <w:numPr>
                <w:ilvl w:val="0"/>
                <w:numId w:val="23"/>
              </w:numPr>
              <w:rPr>
                <w:rFonts w:asciiTheme="minorHAnsi" w:hAnsiTheme="minorHAnsi" w:cstheme="minorHAnsi"/>
              </w:rPr>
            </w:pPr>
            <w:r w:rsidRPr="004C36DC">
              <w:rPr>
                <w:rFonts w:asciiTheme="minorHAnsi" w:hAnsiTheme="minorHAnsi" w:cstheme="minorHAnsi"/>
              </w:rPr>
              <w:t>Can I confidently work with all standard units of measure, and work out conversions between different ones, including metric and imperial?</w:t>
            </w:r>
          </w:p>
          <w:p w:rsidR="004C36DC" w:rsidRPr="004C36DC" w:rsidRDefault="004C36DC" w:rsidP="004C36DC">
            <w:pPr>
              <w:pStyle w:val="Default"/>
              <w:numPr>
                <w:ilvl w:val="0"/>
                <w:numId w:val="23"/>
              </w:numPr>
              <w:rPr>
                <w:rFonts w:asciiTheme="minorHAnsi" w:hAnsiTheme="minorHAnsi" w:cstheme="minorHAnsi"/>
              </w:rPr>
            </w:pPr>
            <w:r w:rsidRPr="004C36DC">
              <w:rPr>
                <w:rFonts w:asciiTheme="minorHAnsi" w:hAnsiTheme="minorHAnsi" w:cstheme="minorHAnsi"/>
              </w:rPr>
              <w:t>Can I solve problems involving time, using analogue times as well as digital 12 and 24 hour times?</w:t>
            </w:r>
          </w:p>
          <w:p w:rsidR="004C36DC" w:rsidRPr="004C36DC" w:rsidRDefault="004C36DC" w:rsidP="004C36DC">
            <w:pPr>
              <w:pStyle w:val="Default"/>
              <w:numPr>
                <w:ilvl w:val="0"/>
                <w:numId w:val="23"/>
              </w:numPr>
              <w:rPr>
                <w:rFonts w:asciiTheme="minorHAnsi" w:hAnsiTheme="minorHAnsi" w:cstheme="minorHAnsi"/>
              </w:rPr>
            </w:pPr>
            <w:r w:rsidRPr="004C36DC">
              <w:rPr>
                <w:rFonts w:asciiTheme="minorHAnsi" w:hAnsiTheme="minorHAnsi" w:cstheme="minorHAnsi"/>
              </w:rPr>
              <w:t xml:space="preserve">Can I calculate area and perimeter and recognise that shapes can have the same area but different perimeters and </w:t>
            </w:r>
            <w:proofErr w:type="spellStart"/>
            <w:r w:rsidRPr="004C36DC">
              <w:rPr>
                <w:rFonts w:asciiTheme="minorHAnsi" w:hAnsiTheme="minorHAnsi" w:cstheme="minorHAnsi"/>
              </w:rPr>
              <w:t>visa</w:t>
            </w:r>
            <w:proofErr w:type="spellEnd"/>
            <w:r w:rsidRPr="004C36DC">
              <w:rPr>
                <w:rFonts w:asciiTheme="minorHAnsi" w:hAnsiTheme="minorHAnsi" w:cstheme="minorHAnsi"/>
              </w:rPr>
              <w:t xml:space="preserve"> versa?</w:t>
            </w:r>
          </w:p>
          <w:p w:rsidR="004C36DC" w:rsidRPr="004C36DC" w:rsidRDefault="004C36DC" w:rsidP="004C36DC">
            <w:pPr>
              <w:pStyle w:val="Default"/>
              <w:numPr>
                <w:ilvl w:val="0"/>
                <w:numId w:val="23"/>
              </w:numPr>
              <w:rPr>
                <w:rFonts w:asciiTheme="minorHAnsi" w:hAnsiTheme="minorHAnsi" w:cstheme="minorHAnsi"/>
              </w:rPr>
            </w:pPr>
            <w:r w:rsidRPr="004C36DC">
              <w:rPr>
                <w:rFonts w:asciiTheme="minorHAnsi" w:hAnsiTheme="minorHAnsi" w:cstheme="minorHAnsi"/>
              </w:rPr>
              <w:t>Can I use formulae to explain the area or volume of shapes?</w:t>
            </w:r>
          </w:p>
          <w:p w:rsidR="004C36DC" w:rsidRPr="004C36DC" w:rsidRDefault="004C36DC" w:rsidP="004C36DC">
            <w:pPr>
              <w:pStyle w:val="Default"/>
              <w:numPr>
                <w:ilvl w:val="0"/>
                <w:numId w:val="23"/>
              </w:numPr>
              <w:rPr>
                <w:rFonts w:asciiTheme="minorHAnsi" w:hAnsiTheme="minorHAnsi" w:cstheme="minorHAnsi"/>
              </w:rPr>
            </w:pPr>
            <w:r w:rsidRPr="004C36DC">
              <w:rPr>
                <w:rFonts w:asciiTheme="minorHAnsi" w:hAnsiTheme="minorHAnsi" w:cstheme="minorHAnsi"/>
              </w:rPr>
              <w:t xml:space="preserve">Can I calculate the area of parallelograms and triangles? </w:t>
            </w:r>
          </w:p>
          <w:p w:rsidR="004C36DC" w:rsidRPr="004C36DC" w:rsidRDefault="004C36DC" w:rsidP="004C36DC">
            <w:pPr>
              <w:pStyle w:val="Default"/>
              <w:numPr>
                <w:ilvl w:val="0"/>
                <w:numId w:val="23"/>
              </w:numPr>
              <w:rPr>
                <w:color w:val="auto"/>
                <w:sz w:val="20"/>
                <w:szCs w:val="20"/>
              </w:rPr>
            </w:pPr>
            <w:r w:rsidRPr="004C36DC">
              <w:rPr>
                <w:color w:val="auto"/>
                <w:sz w:val="20"/>
                <w:szCs w:val="20"/>
              </w:rPr>
              <w:t xml:space="preserve">Can  I calculate, estimate and compare volume of cubes and cuboids using standard units, including cubic centimetres (cm3) and cubic metres (m3), and extending to other units [for example, mm3 and km3]? </w:t>
            </w:r>
          </w:p>
          <w:p w:rsidR="004C36DC" w:rsidRPr="004C36DC" w:rsidRDefault="004C36DC" w:rsidP="004C36DC">
            <w:pPr>
              <w:pStyle w:val="Default"/>
              <w:ind w:left="360"/>
              <w:rPr>
                <w:rFonts w:asciiTheme="minorHAnsi" w:hAnsiTheme="minorHAnsi" w:cstheme="minorHAnsi"/>
              </w:rPr>
            </w:pPr>
          </w:p>
          <w:p w:rsidR="004C36DC" w:rsidRPr="005400F0" w:rsidRDefault="004C36DC">
            <w:pPr>
              <w:rPr>
                <w:rFonts w:asciiTheme="minorHAnsi" w:hAnsiTheme="minorHAnsi" w:cstheme="minorHAnsi"/>
                <w:b/>
              </w:rPr>
            </w:pPr>
          </w:p>
          <w:p w:rsidR="004C36DC" w:rsidRPr="005400F0" w:rsidRDefault="004C36DC" w:rsidP="005400F0">
            <w:pPr>
              <w:pStyle w:val="ListParagraph"/>
              <w:numPr>
                <w:ilvl w:val="0"/>
                <w:numId w:val="21"/>
              </w:numPr>
              <w:tabs>
                <w:tab w:val="left" w:pos="-1656"/>
                <w:tab w:val="left" w:pos="864"/>
              </w:tabs>
              <w:spacing w:before="240"/>
              <w:ind w:right="216"/>
              <w:textAlignment w:val="baseline"/>
              <w:rPr>
                <w:rFonts w:asciiTheme="minorHAnsi" w:hAnsiTheme="minorHAnsi" w:cstheme="minorHAnsi"/>
                <w:b/>
              </w:rPr>
            </w:pPr>
          </w:p>
        </w:tc>
        <w:tc>
          <w:tcPr>
            <w:tcW w:w="3173" w:type="dxa"/>
          </w:tcPr>
          <w:p w:rsidR="004C36DC" w:rsidRPr="005400F0" w:rsidRDefault="004C36DC" w:rsidP="00C23BA9">
            <w:pPr>
              <w:rPr>
                <w:rFonts w:asciiTheme="minorHAnsi" w:hAnsiTheme="minorHAnsi" w:cstheme="minorHAnsi"/>
                <w:b/>
              </w:rPr>
            </w:pPr>
            <w:r w:rsidRPr="005400F0">
              <w:rPr>
                <w:rFonts w:asciiTheme="minorHAnsi" w:hAnsiTheme="minorHAnsi" w:cstheme="minorHAnsi"/>
                <w:b/>
              </w:rPr>
              <w:t>Key questions:</w:t>
            </w:r>
          </w:p>
          <w:p w:rsidR="004C36DC" w:rsidRPr="005400F0" w:rsidRDefault="004C36DC" w:rsidP="00C23BA9">
            <w:pPr>
              <w:rPr>
                <w:rFonts w:asciiTheme="minorHAnsi" w:hAnsiTheme="minorHAnsi" w:cstheme="minorHAnsi"/>
                <w:b/>
              </w:rPr>
            </w:pPr>
          </w:p>
          <w:p w:rsidR="004C36DC" w:rsidRPr="005400F0" w:rsidRDefault="004C36DC" w:rsidP="008E459F">
            <w:pPr>
              <w:pStyle w:val="Default"/>
              <w:ind w:left="360"/>
              <w:rPr>
                <w:rFonts w:asciiTheme="minorHAnsi" w:hAnsiTheme="minorHAnsi" w:cstheme="minorHAnsi"/>
              </w:rPr>
            </w:pPr>
          </w:p>
        </w:tc>
      </w:tr>
    </w:tbl>
    <w:p w:rsidR="00DF501D" w:rsidRDefault="00DF501D"/>
    <w:sectPr w:rsidR="00DF501D" w:rsidSect="00DF501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75" w:rsidRDefault="00247675" w:rsidP="000F7FFD">
      <w:r>
        <w:separator/>
      </w:r>
    </w:p>
  </w:endnote>
  <w:endnote w:type="continuationSeparator" w:id="0">
    <w:p w:rsidR="00247675" w:rsidRDefault="00247675" w:rsidP="000F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75" w:rsidRDefault="00247675" w:rsidP="000F7FFD">
      <w:r>
        <w:separator/>
      </w:r>
    </w:p>
  </w:footnote>
  <w:footnote w:type="continuationSeparator" w:id="0">
    <w:p w:rsidR="00247675" w:rsidRDefault="00247675" w:rsidP="000F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FD" w:rsidRDefault="000F7FFD">
    <w:pPr>
      <w:pStyle w:val="Header"/>
    </w:pPr>
    <w:r>
      <w:t xml:space="preserve">August 2015 Hart and </w:t>
    </w:r>
    <w:proofErr w:type="spellStart"/>
    <w:r>
      <w:t>Rushmoor</w:t>
    </w:r>
    <w:proofErr w:type="spellEnd"/>
    <w:r>
      <w:t xml:space="preserve"> planning / assessment</w:t>
    </w:r>
  </w:p>
  <w:p w:rsidR="000F7FFD" w:rsidRDefault="000F7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C1E"/>
    <w:multiLevelType w:val="hybridMultilevel"/>
    <w:tmpl w:val="C40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67706"/>
    <w:multiLevelType w:val="hybridMultilevel"/>
    <w:tmpl w:val="F6E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1279E"/>
    <w:multiLevelType w:val="hybridMultilevel"/>
    <w:tmpl w:val="160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01763"/>
    <w:multiLevelType w:val="hybridMultilevel"/>
    <w:tmpl w:val="055A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91083"/>
    <w:multiLevelType w:val="hybridMultilevel"/>
    <w:tmpl w:val="27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145B61"/>
    <w:multiLevelType w:val="hybridMultilevel"/>
    <w:tmpl w:val="A5704B48"/>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6">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370281"/>
    <w:multiLevelType w:val="hybridMultilevel"/>
    <w:tmpl w:val="821848F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E03EB5"/>
    <w:multiLevelType w:val="hybridMultilevel"/>
    <w:tmpl w:val="4500665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862B78"/>
    <w:multiLevelType w:val="hybridMultilevel"/>
    <w:tmpl w:val="D14CF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nsid w:val="592765C1"/>
    <w:multiLevelType w:val="hybridMultilevel"/>
    <w:tmpl w:val="C66E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5">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62AE6983"/>
    <w:multiLevelType w:val="hybridMultilevel"/>
    <w:tmpl w:val="A8EA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525A6E"/>
    <w:multiLevelType w:val="hybridMultilevel"/>
    <w:tmpl w:val="0966044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A60BE3"/>
    <w:multiLevelType w:val="hybridMultilevel"/>
    <w:tmpl w:val="0ECADF66"/>
    <w:lvl w:ilvl="0" w:tplc="3B9C42C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B350D5"/>
    <w:multiLevelType w:val="hybridMultilevel"/>
    <w:tmpl w:val="6D8C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15"/>
  </w:num>
  <w:num w:numId="5">
    <w:abstractNumId w:val="13"/>
  </w:num>
  <w:num w:numId="6">
    <w:abstractNumId w:val="8"/>
  </w:num>
  <w:num w:numId="7">
    <w:abstractNumId w:val="20"/>
  </w:num>
  <w:num w:numId="8">
    <w:abstractNumId w:val="21"/>
  </w:num>
  <w:num w:numId="9">
    <w:abstractNumId w:val="6"/>
  </w:num>
  <w:num w:numId="10">
    <w:abstractNumId w:val="3"/>
  </w:num>
  <w:num w:numId="11">
    <w:abstractNumId w:val="1"/>
  </w:num>
  <w:num w:numId="12">
    <w:abstractNumId w:val="7"/>
  </w:num>
  <w:num w:numId="13">
    <w:abstractNumId w:val="4"/>
  </w:num>
  <w:num w:numId="14">
    <w:abstractNumId w:val="9"/>
  </w:num>
  <w:num w:numId="15">
    <w:abstractNumId w:val="16"/>
  </w:num>
  <w:num w:numId="16">
    <w:abstractNumId w:val="17"/>
  </w:num>
  <w:num w:numId="17">
    <w:abstractNumId w:val="22"/>
  </w:num>
  <w:num w:numId="18">
    <w:abstractNumId w:val="10"/>
  </w:num>
  <w:num w:numId="19">
    <w:abstractNumId w:val="0"/>
  </w:num>
  <w:num w:numId="20">
    <w:abstractNumId w:val="5"/>
  </w:num>
  <w:num w:numId="21">
    <w:abstractNumId w:val="19"/>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F7FFD"/>
    <w:rsid w:val="001D3E41"/>
    <w:rsid w:val="00247675"/>
    <w:rsid w:val="004306C7"/>
    <w:rsid w:val="004369D1"/>
    <w:rsid w:val="004C36DC"/>
    <w:rsid w:val="005400F0"/>
    <w:rsid w:val="006D1030"/>
    <w:rsid w:val="00721748"/>
    <w:rsid w:val="0083560C"/>
    <w:rsid w:val="00884AF3"/>
    <w:rsid w:val="00894F95"/>
    <w:rsid w:val="008E459F"/>
    <w:rsid w:val="008F1B5B"/>
    <w:rsid w:val="008F7BD0"/>
    <w:rsid w:val="009A0C2E"/>
    <w:rsid w:val="00A765D4"/>
    <w:rsid w:val="00B10089"/>
    <w:rsid w:val="00BF1B92"/>
    <w:rsid w:val="00C23BA9"/>
    <w:rsid w:val="00C7386A"/>
    <w:rsid w:val="00D034EA"/>
    <w:rsid w:val="00D818ED"/>
    <w:rsid w:val="00DF501D"/>
    <w:rsid w:val="00F8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894F95"/>
    <w:rPr>
      <w:rFonts w:ascii="Tahoma" w:hAnsi="Tahoma" w:cs="Tahoma"/>
      <w:sz w:val="16"/>
      <w:szCs w:val="16"/>
    </w:rPr>
  </w:style>
  <w:style w:type="character" w:customStyle="1" w:styleId="BalloonTextChar">
    <w:name w:val="Balloon Text Char"/>
    <w:basedOn w:val="DefaultParagraphFont"/>
    <w:link w:val="BalloonText"/>
    <w:uiPriority w:val="99"/>
    <w:semiHidden/>
    <w:rsid w:val="00894F95"/>
    <w:rPr>
      <w:rFonts w:ascii="Tahoma" w:eastAsia="Times New Roman" w:hAnsi="Tahoma" w:cs="Tahoma"/>
      <w:sz w:val="16"/>
      <w:szCs w:val="16"/>
      <w:lang w:val="en-US"/>
    </w:rPr>
  </w:style>
  <w:style w:type="character" w:styleId="Hyperlink">
    <w:name w:val="Hyperlink"/>
    <w:uiPriority w:val="99"/>
    <w:unhideWhenUsed/>
    <w:rsid w:val="00894F95"/>
    <w:rPr>
      <w:b/>
      <w:bCs/>
      <w:strike w:val="0"/>
      <w:dstrike w:val="0"/>
      <w:color w:val="00628C"/>
      <w:u w:val="none"/>
      <w:effect w:val="none"/>
    </w:rPr>
  </w:style>
  <w:style w:type="paragraph" w:styleId="Header">
    <w:name w:val="header"/>
    <w:basedOn w:val="Normal"/>
    <w:link w:val="HeaderChar"/>
    <w:uiPriority w:val="99"/>
    <w:unhideWhenUsed/>
    <w:rsid w:val="000F7FFD"/>
    <w:pPr>
      <w:tabs>
        <w:tab w:val="center" w:pos="4513"/>
        <w:tab w:val="right" w:pos="9026"/>
      </w:tabs>
    </w:pPr>
  </w:style>
  <w:style w:type="character" w:customStyle="1" w:styleId="HeaderChar">
    <w:name w:val="Header Char"/>
    <w:basedOn w:val="DefaultParagraphFont"/>
    <w:link w:val="Header"/>
    <w:uiPriority w:val="99"/>
    <w:rsid w:val="000F7FFD"/>
    <w:rPr>
      <w:rFonts w:ascii="Arial" w:eastAsia="Times New Roman" w:hAnsi="Arial" w:cs="Times New Roman"/>
      <w:sz w:val="24"/>
      <w:szCs w:val="24"/>
      <w:lang w:val="en-US"/>
    </w:rPr>
  </w:style>
  <w:style w:type="paragraph" w:styleId="Footer">
    <w:name w:val="footer"/>
    <w:basedOn w:val="Normal"/>
    <w:link w:val="FooterChar"/>
    <w:uiPriority w:val="99"/>
    <w:unhideWhenUsed/>
    <w:rsid w:val="000F7FFD"/>
    <w:pPr>
      <w:tabs>
        <w:tab w:val="center" w:pos="4513"/>
        <w:tab w:val="right" w:pos="9026"/>
      </w:tabs>
    </w:pPr>
  </w:style>
  <w:style w:type="character" w:customStyle="1" w:styleId="FooterChar">
    <w:name w:val="Footer Char"/>
    <w:basedOn w:val="DefaultParagraphFont"/>
    <w:link w:val="Footer"/>
    <w:uiPriority w:val="99"/>
    <w:rsid w:val="000F7FFD"/>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894F95"/>
    <w:rPr>
      <w:rFonts w:ascii="Tahoma" w:hAnsi="Tahoma" w:cs="Tahoma"/>
      <w:sz w:val="16"/>
      <w:szCs w:val="16"/>
    </w:rPr>
  </w:style>
  <w:style w:type="character" w:customStyle="1" w:styleId="BalloonTextChar">
    <w:name w:val="Balloon Text Char"/>
    <w:basedOn w:val="DefaultParagraphFont"/>
    <w:link w:val="BalloonText"/>
    <w:uiPriority w:val="99"/>
    <w:semiHidden/>
    <w:rsid w:val="00894F95"/>
    <w:rPr>
      <w:rFonts w:ascii="Tahoma" w:eastAsia="Times New Roman" w:hAnsi="Tahoma" w:cs="Tahoma"/>
      <w:sz w:val="16"/>
      <w:szCs w:val="16"/>
      <w:lang w:val="en-US"/>
    </w:rPr>
  </w:style>
  <w:style w:type="character" w:styleId="Hyperlink">
    <w:name w:val="Hyperlink"/>
    <w:uiPriority w:val="99"/>
    <w:unhideWhenUsed/>
    <w:rsid w:val="00894F95"/>
    <w:rPr>
      <w:b/>
      <w:bCs/>
      <w:strike w:val="0"/>
      <w:dstrike w:val="0"/>
      <w:color w:val="00628C"/>
      <w:u w:val="none"/>
      <w:effect w:val="none"/>
    </w:rPr>
  </w:style>
  <w:style w:type="paragraph" w:styleId="Header">
    <w:name w:val="header"/>
    <w:basedOn w:val="Normal"/>
    <w:link w:val="HeaderChar"/>
    <w:uiPriority w:val="99"/>
    <w:unhideWhenUsed/>
    <w:rsid w:val="000F7FFD"/>
    <w:pPr>
      <w:tabs>
        <w:tab w:val="center" w:pos="4513"/>
        <w:tab w:val="right" w:pos="9026"/>
      </w:tabs>
    </w:pPr>
  </w:style>
  <w:style w:type="character" w:customStyle="1" w:styleId="HeaderChar">
    <w:name w:val="Header Char"/>
    <w:basedOn w:val="DefaultParagraphFont"/>
    <w:link w:val="Header"/>
    <w:uiPriority w:val="99"/>
    <w:rsid w:val="000F7FFD"/>
    <w:rPr>
      <w:rFonts w:ascii="Arial" w:eastAsia="Times New Roman" w:hAnsi="Arial" w:cs="Times New Roman"/>
      <w:sz w:val="24"/>
      <w:szCs w:val="24"/>
      <w:lang w:val="en-US"/>
    </w:rPr>
  </w:style>
  <w:style w:type="paragraph" w:styleId="Footer">
    <w:name w:val="footer"/>
    <w:basedOn w:val="Normal"/>
    <w:link w:val="FooterChar"/>
    <w:uiPriority w:val="99"/>
    <w:unhideWhenUsed/>
    <w:rsid w:val="000F7FFD"/>
    <w:pPr>
      <w:tabs>
        <w:tab w:val="center" w:pos="4513"/>
        <w:tab w:val="right" w:pos="9026"/>
      </w:tabs>
    </w:pPr>
  </w:style>
  <w:style w:type="character" w:customStyle="1" w:styleId="FooterChar">
    <w:name w:val="Footer Char"/>
    <w:basedOn w:val="DefaultParagraphFont"/>
    <w:link w:val="Footer"/>
    <w:uiPriority w:val="99"/>
    <w:rsid w:val="000F7FFD"/>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public/files/23305653/Mastery_Assessment_Y6_Low_R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etm.org.uk/public/files/23305653/Mastery_Assessment_Y6_Low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23</cp:revision>
  <dcterms:created xsi:type="dcterms:W3CDTF">2015-03-22T17:41:00Z</dcterms:created>
  <dcterms:modified xsi:type="dcterms:W3CDTF">2015-08-09T23:17:00Z</dcterms:modified>
</cp:coreProperties>
</file>