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858"/>
        <w:gridCol w:w="5670"/>
        <w:gridCol w:w="3882"/>
      </w:tblGrid>
      <w:tr w:rsidR="00DF501D" w:rsidTr="002118C0">
        <w:tc>
          <w:tcPr>
            <w:tcW w:w="15614" w:type="dxa"/>
            <w:gridSpan w:val="4"/>
            <w:shd w:val="clear" w:color="auto" w:fill="002060"/>
          </w:tcPr>
          <w:p w:rsidR="00DF501D" w:rsidRPr="00325F97" w:rsidRDefault="00DF501D" w:rsidP="00DF501D">
            <w:pPr>
              <w:jc w:val="center"/>
              <w:rPr>
                <w:rFonts w:asciiTheme="minorHAnsi" w:hAnsiTheme="minorHAnsi" w:cstheme="minorHAnsi"/>
                <w:b/>
                <w:sz w:val="22"/>
                <w:szCs w:val="22"/>
                <w:lang w:val="en-GB"/>
              </w:rPr>
            </w:pPr>
          </w:p>
          <w:p w:rsidR="00DF501D" w:rsidRPr="00325F97" w:rsidRDefault="00DF501D" w:rsidP="00DF501D">
            <w:pPr>
              <w:jc w:val="center"/>
              <w:rPr>
                <w:rFonts w:asciiTheme="minorHAnsi" w:hAnsiTheme="minorHAnsi" w:cstheme="minorHAnsi"/>
                <w:sz w:val="36"/>
                <w:szCs w:val="36"/>
                <w:lang w:val="en-GB"/>
              </w:rPr>
            </w:pPr>
            <w:r w:rsidRPr="00325F97">
              <w:rPr>
                <w:rFonts w:asciiTheme="minorHAnsi" w:hAnsiTheme="minorHAnsi" w:cstheme="minorHAnsi"/>
                <w:b/>
                <w:sz w:val="36"/>
                <w:szCs w:val="36"/>
                <w:lang w:val="en-GB"/>
              </w:rPr>
              <w:t xml:space="preserve">Year </w:t>
            </w:r>
            <w:r w:rsidR="002118C0">
              <w:rPr>
                <w:rFonts w:asciiTheme="minorHAnsi" w:hAnsiTheme="minorHAnsi" w:cstheme="minorHAnsi"/>
                <w:b/>
                <w:sz w:val="36"/>
                <w:szCs w:val="36"/>
                <w:lang w:val="en-GB"/>
              </w:rPr>
              <w:t>6</w:t>
            </w:r>
            <w:r w:rsidRPr="00325F97">
              <w:rPr>
                <w:rFonts w:asciiTheme="minorHAnsi" w:hAnsiTheme="minorHAnsi" w:cstheme="minorHAnsi"/>
                <w:b/>
                <w:sz w:val="36"/>
                <w:szCs w:val="36"/>
                <w:lang w:val="en-GB"/>
              </w:rPr>
              <w:t xml:space="preserve">  - Building and assessing the conceptual understanding and learning – </w:t>
            </w:r>
            <w:r w:rsidR="008F7BD0" w:rsidRPr="00325F97">
              <w:rPr>
                <w:rFonts w:asciiTheme="minorHAnsi" w:hAnsiTheme="minorHAnsi" w:cstheme="minorHAnsi"/>
                <w:b/>
                <w:sz w:val="36"/>
                <w:szCs w:val="36"/>
                <w:lang w:val="en-GB"/>
              </w:rPr>
              <w:t>Fractions</w:t>
            </w:r>
          </w:p>
          <w:p w:rsidR="00DF501D" w:rsidRPr="00325F97" w:rsidRDefault="00DF501D">
            <w:pPr>
              <w:rPr>
                <w:rFonts w:asciiTheme="minorHAnsi" w:hAnsiTheme="minorHAnsi" w:cstheme="minorHAnsi"/>
                <w:sz w:val="22"/>
                <w:szCs w:val="22"/>
              </w:rPr>
            </w:pPr>
          </w:p>
        </w:tc>
      </w:tr>
      <w:tr w:rsidR="00DF501D" w:rsidTr="00325F97">
        <w:tc>
          <w:tcPr>
            <w:tcW w:w="6062" w:type="dxa"/>
            <w:gridSpan w:val="2"/>
          </w:tcPr>
          <w:p w:rsidR="00DF501D" w:rsidRPr="00C252EC" w:rsidRDefault="00DF501D" w:rsidP="00DF501D">
            <w:pPr>
              <w:pStyle w:val="NLnormallist"/>
              <w:spacing w:line="240" w:lineRule="auto"/>
              <w:ind w:left="113" w:firstLine="0"/>
              <w:rPr>
                <w:rFonts w:cs="Arial"/>
                <w:b/>
                <w:sz w:val="22"/>
                <w:szCs w:val="22"/>
              </w:rPr>
            </w:pPr>
            <w:r w:rsidRPr="00C252EC">
              <w:rPr>
                <w:rFonts w:cs="Arial"/>
                <w:b/>
                <w:sz w:val="22"/>
                <w:szCs w:val="22"/>
              </w:rPr>
              <w:t>End of Year Expectations:</w:t>
            </w:r>
          </w:p>
          <w:p w:rsidR="00BE68F5" w:rsidRPr="00C252EC" w:rsidRDefault="00BE68F5" w:rsidP="00BE68F5">
            <w:pPr>
              <w:pStyle w:val="Default"/>
              <w:rPr>
                <w:color w:val="auto"/>
                <w:sz w:val="20"/>
                <w:szCs w:val="20"/>
              </w:rPr>
            </w:pPr>
            <w:r w:rsidRPr="00C252EC">
              <w:rPr>
                <w:color w:val="auto"/>
                <w:sz w:val="20"/>
                <w:szCs w:val="20"/>
              </w:rPr>
              <w:t xml:space="preserve">Pupils should be taught to: </w:t>
            </w:r>
          </w:p>
          <w:p w:rsidR="00BE68F5" w:rsidRPr="00C252EC" w:rsidRDefault="00BE68F5" w:rsidP="00BE68F5">
            <w:pPr>
              <w:pStyle w:val="Default"/>
              <w:numPr>
                <w:ilvl w:val="0"/>
                <w:numId w:val="20"/>
              </w:numPr>
              <w:rPr>
                <w:rFonts w:eastAsia="Times New Roman"/>
                <w:color w:val="auto"/>
                <w:sz w:val="20"/>
                <w:szCs w:val="20"/>
                <w:lang w:eastAsia="en-GB"/>
              </w:rPr>
            </w:pPr>
            <w:r w:rsidRPr="00C252EC">
              <w:rPr>
                <w:rFonts w:eastAsia="Times New Roman"/>
                <w:color w:val="auto"/>
                <w:sz w:val="20"/>
                <w:szCs w:val="20"/>
                <w:lang w:eastAsia="en-GB"/>
              </w:rPr>
              <w:t xml:space="preserve">use common factors to simplify fractions; use common multiples to express fractions in the same denomination </w:t>
            </w:r>
          </w:p>
          <w:p w:rsidR="00BE68F5" w:rsidRPr="00C252EC" w:rsidRDefault="00BE68F5" w:rsidP="00BE68F5">
            <w:pPr>
              <w:pStyle w:val="Default"/>
              <w:numPr>
                <w:ilvl w:val="0"/>
                <w:numId w:val="20"/>
              </w:numPr>
              <w:rPr>
                <w:rFonts w:eastAsia="Times New Roman"/>
                <w:color w:val="auto"/>
                <w:sz w:val="20"/>
                <w:szCs w:val="20"/>
                <w:lang w:eastAsia="en-GB"/>
              </w:rPr>
            </w:pPr>
            <w:r w:rsidRPr="00C252EC">
              <w:rPr>
                <w:rFonts w:eastAsia="Times New Roman"/>
                <w:color w:val="auto"/>
                <w:sz w:val="20"/>
                <w:szCs w:val="20"/>
                <w:lang w:eastAsia="en-GB"/>
              </w:rPr>
              <w:t>compare and order fractions, including fractions &gt; 1</w:t>
            </w:r>
          </w:p>
          <w:p w:rsidR="00E66114" w:rsidRDefault="00BE68F5" w:rsidP="00BE68F5">
            <w:pPr>
              <w:pStyle w:val="Default"/>
              <w:numPr>
                <w:ilvl w:val="0"/>
                <w:numId w:val="20"/>
              </w:numPr>
              <w:rPr>
                <w:rFonts w:eastAsia="Times New Roman"/>
                <w:color w:val="auto"/>
                <w:sz w:val="20"/>
                <w:szCs w:val="20"/>
                <w:lang w:eastAsia="en-GB"/>
              </w:rPr>
            </w:pPr>
            <w:r w:rsidRPr="00C252EC">
              <w:rPr>
                <w:rFonts w:eastAsia="Times New Roman"/>
                <w:color w:val="auto"/>
                <w:sz w:val="20"/>
                <w:szCs w:val="20"/>
                <w:lang w:eastAsia="en-GB"/>
              </w:rPr>
              <w:t xml:space="preserve">add and subtract fractions with different denominators and mixed numbers, using the concept of equivalent fractions </w:t>
            </w:r>
          </w:p>
          <w:p w:rsidR="00BE68F5" w:rsidRPr="00C252EC" w:rsidRDefault="00BE68F5" w:rsidP="00BE68F5">
            <w:pPr>
              <w:pStyle w:val="Default"/>
              <w:numPr>
                <w:ilvl w:val="0"/>
                <w:numId w:val="20"/>
              </w:numPr>
              <w:rPr>
                <w:rFonts w:eastAsia="Times New Roman"/>
                <w:color w:val="auto"/>
                <w:sz w:val="20"/>
                <w:szCs w:val="20"/>
                <w:lang w:eastAsia="en-GB"/>
              </w:rPr>
            </w:pPr>
            <w:r w:rsidRPr="00C252EC">
              <w:rPr>
                <w:rFonts w:eastAsia="Times New Roman"/>
                <w:color w:val="auto"/>
                <w:sz w:val="20"/>
                <w:szCs w:val="20"/>
                <w:lang w:eastAsia="en-GB"/>
              </w:rPr>
              <w:t>multiply simple pairs of proper fractions, writing the answer in its simplest form [for example, ¼ x ½ = 1/8</w:t>
            </w:r>
          </w:p>
          <w:p w:rsidR="00BE68F5" w:rsidRPr="00C252EC" w:rsidRDefault="00BE68F5" w:rsidP="00BE68F5">
            <w:pPr>
              <w:numPr>
                <w:ilvl w:val="0"/>
                <w:numId w:val="20"/>
              </w:numPr>
              <w:autoSpaceDE w:val="0"/>
              <w:autoSpaceDN w:val="0"/>
              <w:adjustRightInd w:val="0"/>
              <w:rPr>
                <w:rFonts w:cs="Arial"/>
                <w:sz w:val="20"/>
                <w:szCs w:val="20"/>
                <w:lang w:val="en-GB" w:eastAsia="en-GB"/>
              </w:rPr>
            </w:pPr>
            <w:r w:rsidRPr="00C252EC">
              <w:rPr>
                <w:rFonts w:cs="Arial"/>
                <w:sz w:val="20"/>
                <w:szCs w:val="20"/>
                <w:lang w:val="en-GB" w:eastAsia="en-GB"/>
              </w:rPr>
              <w:t>divide proper fractions by whole numbers [for example, 1/3 ÷ 2 = 1/6</w:t>
            </w:r>
          </w:p>
          <w:p w:rsidR="00BE68F5" w:rsidRPr="00C252EC" w:rsidRDefault="00BE68F5" w:rsidP="00BE68F5">
            <w:pPr>
              <w:numPr>
                <w:ilvl w:val="0"/>
                <w:numId w:val="20"/>
              </w:numPr>
              <w:autoSpaceDE w:val="0"/>
              <w:autoSpaceDN w:val="0"/>
              <w:adjustRightInd w:val="0"/>
              <w:rPr>
                <w:rFonts w:cs="Arial"/>
                <w:sz w:val="20"/>
                <w:szCs w:val="20"/>
                <w:lang w:val="en-GB" w:eastAsia="en-GB"/>
              </w:rPr>
            </w:pPr>
            <w:r w:rsidRPr="00C252EC">
              <w:rPr>
                <w:rFonts w:cs="Arial"/>
                <w:sz w:val="20"/>
                <w:szCs w:val="20"/>
                <w:lang w:val="en-GB" w:eastAsia="en-GB"/>
              </w:rPr>
              <w:t xml:space="preserve">associate a fraction with division and calculate decimal fraction equivalents [for example, 0.375] for a simple fraction [for example 3/8] </w:t>
            </w:r>
          </w:p>
          <w:p w:rsidR="00D25C9C" w:rsidRPr="00D25C9C" w:rsidRDefault="00BE68F5" w:rsidP="00E66114">
            <w:pPr>
              <w:pStyle w:val="NLnormallist"/>
              <w:numPr>
                <w:ilvl w:val="0"/>
                <w:numId w:val="20"/>
              </w:numPr>
              <w:spacing w:line="240" w:lineRule="auto"/>
              <w:rPr>
                <w:rFonts w:cs="Arial"/>
              </w:rPr>
            </w:pPr>
            <w:r w:rsidRPr="00C252EC">
              <w:rPr>
                <w:rFonts w:eastAsia="Times New Roman" w:cs="Arial"/>
                <w:lang w:eastAsia="en-GB"/>
              </w:rPr>
              <w:t xml:space="preserve">identify the value of each digit in numbers given to three decimal places and multiply and divide numbers by 10, 100 and 1000 giving answers up to three decimal places </w:t>
            </w:r>
          </w:p>
          <w:p w:rsidR="00E66114" w:rsidRPr="006D5342" w:rsidRDefault="00E66114" w:rsidP="00E66114">
            <w:pPr>
              <w:pStyle w:val="Default"/>
              <w:numPr>
                <w:ilvl w:val="0"/>
                <w:numId w:val="24"/>
              </w:numPr>
              <w:rPr>
                <w:i/>
                <w:sz w:val="20"/>
                <w:szCs w:val="20"/>
              </w:rPr>
            </w:pPr>
            <w:r w:rsidRPr="006D5342">
              <w:rPr>
                <w:i/>
                <w:sz w:val="20"/>
                <w:szCs w:val="20"/>
              </w:rPr>
              <w:t xml:space="preserve">multiply one-digit numbers with up to two decimal places by whole numbers </w:t>
            </w:r>
            <w:r w:rsidR="001E7503" w:rsidRPr="006D5342">
              <w:rPr>
                <w:i/>
                <w:sz w:val="20"/>
                <w:szCs w:val="20"/>
              </w:rPr>
              <w:t>(included in “calculation”)</w:t>
            </w:r>
          </w:p>
          <w:p w:rsidR="001E7503" w:rsidRPr="006D5342" w:rsidRDefault="00D25C9C" w:rsidP="001E7503">
            <w:pPr>
              <w:pStyle w:val="Default"/>
              <w:numPr>
                <w:ilvl w:val="0"/>
                <w:numId w:val="24"/>
              </w:numPr>
              <w:rPr>
                <w:i/>
                <w:sz w:val="20"/>
                <w:szCs w:val="20"/>
              </w:rPr>
            </w:pPr>
            <w:r w:rsidRPr="006D5342">
              <w:rPr>
                <w:i/>
                <w:sz w:val="20"/>
                <w:szCs w:val="20"/>
              </w:rPr>
              <w:t>u</w:t>
            </w:r>
            <w:r w:rsidR="00E66114" w:rsidRPr="006D5342">
              <w:rPr>
                <w:i/>
                <w:sz w:val="20"/>
                <w:szCs w:val="20"/>
              </w:rPr>
              <w:t xml:space="preserve">se written division methods in cases where the answer has up to two decimal places </w:t>
            </w:r>
            <w:r w:rsidR="001E7503" w:rsidRPr="006D5342">
              <w:rPr>
                <w:i/>
                <w:sz w:val="20"/>
                <w:szCs w:val="20"/>
              </w:rPr>
              <w:t>(included in “calculation”)</w:t>
            </w:r>
          </w:p>
          <w:p w:rsidR="001E7503" w:rsidRPr="006D5342" w:rsidRDefault="00E66114" w:rsidP="001E7503">
            <w:pPr>
              <w:pStyle w:val="Default"/>
              <w:numPr>
                <w:ilvl w:val="0"/>
                <w:numId w:val="24"/>
              </w:numPr>
              <w:rPr>
                <w:i/>
                <w:sz w:val="20"/>
                <w:szCs w:val="20"/>
              </w:rPr>
            </w:pPr>
            <w:r w:rsidRPr="006D5342">
              <w:rPr>
                <w:i/>
                <w:sz w:val="20"/>
                <w:szCs w:val="20"/>
              </w:rPr>
              <w:t xml:space="preserve">solve problems which require answers to be rounded to specified degrees of accuracy </w:t>
            </w:r>
            <w:r w:rsidR="001E7503" w:rsidRPr="006D5342">
              <w:rPr>
                <w:i/>
                <w:sz w:val="20"/>
                <w:szCs w:val="20"/>
              </w:rPr>
              <w:t>(included in “calculation”)</w:t>
            </w:r>
          </w:p>
          <w:p w:rsidR="00E66114" w:rsidRPr="006D5342" w:rsidRDefault="00E66114" w:rsidP="00D25C9C">
            <w:pPr>
              <w:pStyle w:val="Default"/>
              <w:numPr>
                <w:ilvl w:val="0"/>
                <w:numId w:val="24"/>
              </w:numPr>
              <w:rPr>
                <w:sz w:val="20"/>
                <w:szCs w:val="20"/>
              </w:rPr>
            </w:pPr>
            <w:proofErr w:type="gramStart"/>
            <w:r w:rsidRPr="006D5342">
              <w:rPr>
                <w:sz w:val="20"/>
                <w:szCs w:val="20"/>
              </w:rPr>
              <w:t>recall</w:t>
            </w:r>
            <w:proofErr w:type="gramEnd"/>
            <w:r w:rsidRPr="006D5342">
              <w:rPr>
                <w:sz w:val="20"/>
                <w:szCs w:val="20"/>
              </w:rPr>
              <w:t xml:space="preserve"> and use equivalences between simple fractions, decimals and percentages, including in different contexts. </w:t>
            </w:r>
          </w:p>
          <w:p w:rsidR="00E66114" w:rsidRPr="00C252EC" w:rsidRDefault="00E66114" w:rsidP="00BE68F5">
            <w:pPr>
              <w:pStyle w:val="NLnormallist"/>
              <w:spacing w:line="240" w:lineRule="auto"/>
              <w:ind w:left="113" w:firstLine="0"/>
              <w:rPr>
                <w:rFonts w:cs="Arial"/>
                <w:b/>
                <w:sz w:val="22"/>
                <w:szCs w:val="22"/>
              </w:rPr>
            </w:pPr>
          </w:p>
          <w:p w:rsidR="00325F97" w:rsidRDefault="00325F97" w:rsidP="002118C0">
            <w:pPr>
              <w:autoSpaceDE w:val="0"/>
              <w:autoSpaceDN w:val="0"/>
              <w:adjustRightInd w:val="0"/>
              <w:ind w:left="360"/>
              <w:rPr>
                <w:rFonts w:cs="Arial"/>
                <w:sz w:val="22"/>
                <w:szCs w:val="22"/>
              </w:rPr>
            </w:pPr>
          </w:p>
          <w:p w:rsidR="00C252EC" w:rsidRPr="00C252EC" w:rsidRDefault="006D5342" w:rsidP="002118C0">
            <w:pPr>
              <w:autoSpaceDE w:val="0"/>
              <w:autoSpaceDN w:val="0"/>
              <w:adjustRightInd w:val="0"/>
              <w:ind w:left="360"/>
              <w:rPr>
                <w:rFonts w:cs="Arial"/>
                <w:sz w:val="22"/>
                <w:szCs w:val="22"/>
              </w:rPr>
            </w:pPr>
            <w:r w:rsidRPr="006D5342">
              <w:rPr>
                <w:rFonts w:cs="Arial"/>
                <w:noProof/>
                <w:sz w:val="20"/>
                <w:szCs w:val="20"/>
                <w:lang w:eastAsia="en-GB"/>
              </w:rPr>
              <mc:AlternateContent>
                <mc:Choice Requires="wps">
                  <w:drawing>
                    <wp:anchor distT="0" distB="0" distL="114300" distR="114300" simplePos="0" relativeHeight="251659264" behindDoc="0" locked="0" layoutInCell="1" allowOverlap="1" wp14:anchorId="1A4C9C4F" wp14:editId="08154EFB">
                      <wp:simplePos x="0" y="0"/>
                      <wp:positionH relativeFrom="column">
                        <wp:posOffset>1839595</wp:posOffset>
                      </wp:positionH>
                      <wp:positionV relativeFrom="paragraph">
                        <wp:posOffset>446405</wp:posOffset>
                      </wp:positionV>
                      <wp:extent cx="2374265" cy="1403985"/>
                      <wp:effectExtent l="0" t="0" r="1333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solidFill>
                              <a:ln w="9525">
                                <a:solidFill>
                                  <a:srgbClr val="000000"/>
                                </a:solidFill>
                                <a:miter lim="800000"/>
                                <a:headEnd/>
                                <a:tailEnd/>
                              </a:ln>
                            </wps:spPr>
                            <wps:txbx>
                              <w:txbxContent>
                                <w:p w:rsidR="00C252EC" w:rsidRPr="00C252EC" w:rsidRDefault="00C252EC" w:rsidP="00C252EC">
                                  <w:pPr>
                                    <w:pStyle w:val="NLnormallist"/>
                                    <w:ind w:left="113" w:firstLine="0"/>
                                    <w:rPr>
                                      <w:rFonts w:ascii="Calibri" w:hAnsi="Calibri" w:cs="Calibri"/>
                                      <w:b/>
                                      <w:color w:val="FFFFFF" w:themeColor="background1"/>
                                    </w:rPr>
                                  </w:pPr>
                                  <w:bookmarkStart w:id="0" w:name="_GoBack"/>
                                  <w:r w:rsidRPr="00C252EC">
                                    <w:rPr>
                                      <w:rFonts w:ascii="Calibri" w:hAnsi="Calibri" w:cs="Calibri"/>
                                      <w:b/>
                                      <w:color w:val="FFFFFF" w:themeColor="background1"/>
                                    </w:rPr>
                                    <w:t>See NCETM “Teaching for Mastery” Year 6 book – fractions.</w:t>
                                  </w:r>
                                </w:p>
                                <w:p w:rsidR="00C252EC" w:rsidRDefault="0096571E" w:rsidP="00C252EC">
                                  <w:pPr>
                                    <w:pStyle w:val="Default"/>
                                  </w:pPr>
                                  <w:hyperlink r:id="rId8" w:history="1">
                                    <w:r w:rsidR="00C252EC" w:rsidRPr="00C252EC">
                                      <w:rPr>
                                        <w:rStyle w:val="Hyperlink"/>
                                        <w:rFonts w:ascii="Calibri" w:hAnsi="Calibri" w:cs="Calibri"/>
                                        <w:color w:val="FFFFFF" w:themeColor="background1"/>
                                      </w:rPr>
                                      <w:t>https://www.ncetm.org.uk/public/files/23305653/Mastery_Assessment_Y6_Low_Res.pdf</w:t>
                                    </w:r>
                                  </w:hyperlin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85pt;margin-top:35.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" fillcolor="#1f497d [3215]">
                      <v:textbox style="mso-fit-shape-to-text:t">
                        <w:txbxContent>
                          <w:p w:rsidR="00C252EC" w:rsidRPr="00C252EC" w:rsidRDefault="00C252EC" w:rsidP="00C252EC">
                            <w:pPr>
                              <w:pStyle w:val="NLnormallist"/>
                              <w:ind w:left="113" w:firstLine="0"/>
                              <w:rPr>
                                <w:rFonts w:ascii="Calibri" w:hAnsi="Calibri" w:cs="Calibri"/>
                                <w:b/>
                                <w:color w:val="FFFFFF" w:themeColor="background1"/>
                              </w:rPr>
                            </w:pPr>
                            <w:bookmarkStart w:id="1" w:name="_GoBack"/>
                            <w:r w:rsidRPr="00C252EC">
                              <w:rPr>
                                <w:rFonts w:ascii="Calibri" w:hAnsi="Calibri" w:cs="Calibri"/>
                                <w:b/>
                                <w:color w:val="FFFFFF" w:themeColor="background1"/>
                              </w:rPr>
                              <w:t>See NCETM “Teaching for Mastery” Year 6 book – fractions.</w:t>
                            </w:r>
                          </w:p>
                          <w:p w:rsidR="00C252EC" w:rsidRDefault="0096571E" w:rsidP="00C252EC">
                            <w:pPr>
                              <w:pStyle w:val="Default"/>
                            </w:pPr>
                            <w:hyperlink r:id="rId9" w:history="1">
                              <w:r w:rsidR="00C252EC" w:rsidRPr="00C252EC">
                                <w:rPr>
                                  <w:rStyle w:val="Hyperlink"/>
                                  <w:rFonts w:ascii="Calibri" w:hAnsi="Calibri" w:cs="Calibri"/>
                                  <w:color w:val="FFFFFF" w:themeColor="background1"/>
                                </w:rPr>
                                <w:t>https://www.ncetm.org.uk/public/files/23305653/Mastery_Assessment_Y6_Low_Res.pdf</w:t>
                              </w:r>
                            </w:hyperlink>
                            <w:bookmarkEnd w:id="1"/>
                          </w:p>
                        </w:txbxContent>
                      </v:textbox>
                    </v:shape>
                  </w:pict>
                </mc:Fallback>
              </mc:AlternateContent>
            </w:r>
          </w:p>
        </w:tc>
        <w:tc>
          <w:tcPr>
            <w:tcW w:w="9552" w:type="dxa"/>
            <w:gridSpan w:val="2"/>
          </w:tcPr>
          <w:p w:rsidR="00DF501D" w:rsidRPr="00C252EC" w:rsidRDefault="00DF501D" w:rsidP="00DF501D">
            <w:pPr>
              <w:pStyle w:val="NLnormallist"/>
              <w:tabs>
                <w:tab w:val="left" w:pos="1604"/>
              </w:tabs>
              <w:spacing w:line="240" w:lineRule="auto"/>
              <w:ind w:left="0" w:firstLine="0"/>
              <w:rPr>
                <w:rFonts w:cs="Arial"/>
                <w:b/>
                <w:sz w:val="22"/>
                <w:szCs w:val="22"/>
              </w:rPr>
            </w:pPr>
            <w:r w:rsidRPr="00C252EC">
              <w:rPr>
                <w:rFonts w:cs="Arial"/>
                <w:b/>
                <w:sz w:val="22"/>
                <w:szCs w:val="22"/>
              </w:rPr>
              <w:t>Non-statutory guidance:</w:t>
            </w:r>
          </w:p>
          <w:p w:rsidR="00BE68F5" w:rsidRPr="00C252EC" w:rsidRDefault="00BE68F5" w:rsidP="00BE68F5">
            <w:pPr>
              <w:pStyle w:val="Default"/>
              <w:rPr>
                <w:sz w:val="23"/>
                <w:szCs w:val="23"/>
              </w:rPr>
            </w:pPr>
            <w:r w:rsidRPr="00C252EC">
              <w:rPr>
                <w:sz w:val="23"/>
                <w:szCs w:val="23"/>
              </w:rPr>
              <w:t xml:space="preserve">Pupils should practise, use and understand the addition and subtraction of fractions with different denominators by identifying equivalent fractions with the same denominator. They should start with fractions where the denominator of one fraction is a multiple of the other (e.g. </w:t>
            </w:r>
            <w:r w:rsidRPr="00C252EC">
              <w:rPr>
                <w:position w:val="8"/>
                <w:sz w:val="16"/>
                <w:szCs w:val="16"/>
                <w:vertAlign w:val="superscript"/>
              </w:rPr>
              <w:t>1</w:t>
            </w:r>
            <w:r w:rsidRPr="00C252EC">
              <w:rPr>
                <w:sz w:val="23"/>
                <w:szCs w:val="23"/>
              </w:rPr>
              <w:t>/</w:t>
            </w:r>
            <w:r w:rsidRPr="00C252EC">
              <w:rPr>
                <w:position w:val="-8"/>
                <w:sz w:val="16"/>
                <w:szCs w:val="16"/>
                <w:vertAlign w:val="subscript"/>
              </w:rPr>
              <w:t xml:space="preserve">2 </w:t>
            </w:r>
            <w:r w:rsidRPr="00C252EC">
              <w:rPr>
                <w:sz w:val="23"/>
                <w:szCs w:val="23"/>
              </w:rPr>
              <w:t xml:space="preserve">+ </w:t>
            </w:r>
            <w:r w:rsidRPr="00C252EC">
              <w:rPr>
                <w:position w:val="8"/>
                <w:sz w:val="16"/>
                <w:szCs w:val="16"/>
                <w:vertAlign w:val="superscript"/>
              </w:rPr>
              <w:t>1</w:t>
            </w:r>
            <w:r w:rsidRPr="00C252EC">
              <w:rPr>
                <w:sz w:val="23"/>
                <w:szCs w:val="23"/>
              </w:rPr>
              <w:t>/</w:t>
            </w:r>
            <w:r w:rsidRPr="00C252EC">
              <w:rPr>
                <w:position w:val="-8"/>
                <w:sz w:val="16"/>
                <w:szCs w:val="16"/>
                <w:vertAlign w:val="subscript"/>
              </w:rPr>
              <w:t xml:space="preserve">8 </w:t>
            </w:r>
            <w:r w:rsidRPr="00C252EC">
              <w:rPr>
                <w:sz w:val="23"/>
                <w:szCs w:val="23"/>
              </w:rPr>
              <w:t xml:space="preserve">= </w:t>
            </w:r>
            <w:r w:rsidRPr="00C252EC">
              <w:rPr>
                <w:position w:val="8"/>
                <w:sz w:val="16"/>
                <w:szCs w:val="16"/>
                <w:vertAlign w:val="superscript"/>
              </w:rPr>
              <w:t>5</w:t>
            </w:r>
            <w:r w:rsidRPr="00C252EC">
              <w:rPr>
                <w:sz w:val="23"/>
                <w:szCs w:val="23"/>
              </w:rPr>
              <w:t>/</w:t>
            </w:r>
            <w:r w:rsidRPr="00C252EC">
              <w:rPr>
                <w:position w:val="-8"/>
                <w:sz w:val="16"/>
                <w:szCs w:val="16"/>
                <w:vertAlign w:val="subscript"/>
              </w:rPr>
              <w:t>8</w:t>
            </w:r>
            <w:r w:rsidRPr="00C252EC">
              <w:rPr>
                <w:sz w:val="23"/>
                <w:szCs w:val="23"/>
              </w:rPr>
              <w:t xml:space="preserve">) and progress to varied and increasingly complex problems. </w:t>
            </w:r>
          </w:p>
          <w:p w:rsidR="00BE68F5" w:rsidRPr="00C252EC" w:rsidRDefault="00BE68F5" w:rsidP="00BE68F5">
            <w:pPr>
              <w:pStyle w:val="NLnormallist"/>
              <w:tabs>
                <w:tab w:val="left" w:pos="1604"/>
              </w:tabs>
              <w:spacing w:line="240" w:lineRule="auto"/>
              <w:ind w:left="0" w:firstLine="0"/>
              <w:rPr>
                <w:rFonts w:cs="Arial"/>
                <w:sz w:val="23"/>
                <w:szCs w:val="23"/>
              </w:rPr>
            </w:pPr>
            <w:r w:rsidRPr="00C252EC">
              <w:rPr>
                <w:rFonts w:cs="Arial"/>
                <w:sz w:val="23"/>
                <w:szCs w:val="23"/>
              </w:rPr>
              <w:t xml:space="preserve">Pupils should use a variety of images to support their understanding of multiplication with fractions. This follows earlier work about fractions as operators (fractions of), as numbers, and as equal parts of objects, for example as parts of a rectangle. </w:t>
            </w:r>
          </w:p>
          <w:p w:rsidR="00BE68F5" w:rsidRPr="00C252EC" w:rsidRDefault="00BE68F5" w:rsidP="00BE68F5">
            <w:pPr>
              <w:pStyle w:val="Default"/>
              <w:rPr>
                <w:sz w:val="23"/>
                <w:szCs w:val="23"/>
              </w:rPr>
            </w:pPr>
            <w:r w:rsidRPr="00C252EC">
              <w:rPr>
                <w:sz w:val="23"/>
                <w:szCs w:val="23"/>
              </w:rPr>
              <w:t xml:space="preserve">Pupils use their understanding of the relationship between unit fractions and division to work backwards by multiplying a quantity that represents a unit fraction to find the whole quantity (e.g. if </w:t>
            </w:r>
            <w:r w:rsidRPr="00C252EC">
              <w:rPr>
                <w:position w:val="8"/>
                <w:sz w:val="16"/>
                <w:szCs w:val="16"/>
                <w:vertAlign w:val="superscript"/>
              </w:rPr>
              <w:t>1</w:t>
            </w:r>
            <w:r w:rsidRPr="00C252EC">
              <w:rPr>
                <w:sz w:val="23"/>
                <w:szCs w:val="23"/>
              </w:rPr>
              <w:t>/</w:t>
            </w:r>
            <w:r w:rsidRPr="00C252EC">
              <w:rPr>
                <w:position w:val="-8"/>
                <w:sz w:val="16"/>
                <w:szCs w:val="16"/>
                <w:vertAlign w:val="subscript"/>
              </w:rPr>
              <w:t xml:space="preserve">4 </w:t>
            </w:r>
            <w:r w:rsidRPr="00C252EC">
              <w:rPr>
                <w:sz w:val="23"/>
                <w:szCs w:val="23"/>
              </w:rPr>
              <w:t xml:space="preserve">of a length is 36cm, then the whole length is 36 × 4 = 144cm). </w:t>
            </w:r>
          </w:p>
          <w:p w:rsidR="00BE68F5" w:rsidRPr="00C252EC" w:rsidRDefault="00BE68F5" w:rsidP="00BE68F5">
            <w:pPr>
              <w:pStyle w:val="Default"/>
              <w:rPr>
                <w:sz w:val="23"/>
                <w:szCs w:val="23"/>
              </w:rPr>
            </w:pPr>
            <w:r w:rsidRPr="00C252EC">
              <w:rPr>
                <w:sz w:val="23"/>
                <w:szCs w:val="23"/>
              </w:rPr>
              <w:t xml:space="preserve">They practise with simple fractions and decimal fraction equivalents to aid fluency, including listing equivalent fractions to identify fractions with common denominators. </w:t>
            </w:r>
          </w:p>
          <w:p w:rsidR="00BE68F5" w:rsidRPr="00C252EC" w:rsidRDefault="00BE68F5" w:rsidP="00BE68F5">
            <w:pPr>
              <w:pStyle w:val="Default"/>
              <w:rPr>
                <w:sz w:val="23"/>
                <w:szCs w:val="23"/>
              </w:rPr>
            </w:pPr>
            <w:r w:rsidRPr="00C252EC">
              <w:rPr>
                <w:sz w:val="23"/>
                <w:szCs w:val="23"/>
              </w:rPr>
              <w:t xml:space="preserve">Pupils can explore and make conjectures about converting a simple fraction to a decimal fraction (e.g. 3 ÷ 8 = 0.375). For simple fractions with recurring decimal equivalents, pupils learn about rounding the decimal to three decimal places, or other appropriate approximations depending on the context. Pupils multiply and divide numbers with up to two decimal places by one-digit and two-digit whole numbers. Pupils multiply decimals by whole numbers, starting with the simplest cases, such as 0.4 × 2 = 0.8, and in practical contexts, such as measures and money. </w:t>
            </w:r>
          </w:p>
          <w:p w:rsidR="00BE68F5" w:rsidRPr="00C252EC" w:rsidRDefault="00BE68F5" w:rsidP="00BE68F5">
            <w:pPr>
              <w:pStyle w:val="Default"/>
              <w:rPr>
                <w:sz w:val="23"/>
                <w:szCs w:val="23"/>
              </w:rPr>
            </w:pPr>
            <w:r w:rsidRPr="00C252EC">
              <w:rPr>
                <w:sz w:val="23"/>
                <w:szCs w:val="23"/>
              </w:rPr>
              <w:t xml:space="preserve">Pupils are introduced to the division of decimal numbers by one-digit whole numbers and, initially, in practical contexts involving measures and money. They recognise division calculations as the inverse of multiplication. </w:t>
            </w:r>
          </w:p>
          <w:p w:rsidR="006D5342" w:rsidRDefault="00BE68F5" w:rsidP="006D5342">
            <w:pPr>
              <w:pStyle w:val="NLnormallist"/>
              <w:tabs>
                <w:tab w:val="left" w:pos="1604"/>
              </w:tabs>
              <w:spacing w:line="240" w:lineRule="auto"/>
              <w:ind w:left="0" w:firstLine="0"/>
              <w:rPr>
                <w:rFonts w:cs="Arial"/>
                <w:sz w:val="23"/>
                <w:szCs w:val="23"/>
              </w:rPr>
            </w:pPr>
            <w:r w:rsidRPr="00C252EC">
              <w:rPr>
                <w:rFonts w:cs="Arial"/>
                <w:sz w:val="23"/>
                <w:szCs w:val="23"/>
              </w:rPr>
              <w:t>Pupils also develop their skills of rounding and estimating as a means of predicting and checking the order of magnitude of their answers to decimal calculations. This includes rounding answers to a specified degree of accuracy and checking the reasonableness of their answers.</w:t>
            </w:r>
          </w:p>
          <w:p w:rsidR="006D5342" w:rsidRDefault="006D5342" w:rsidP="006D5342">
            <w:pPr>
              <w:pStyle w:val="NLnormallist"/>
              <w:tabs>
                <w:tab w:val="left" w:pos="1604"/>
              </w:tabs>
              <w:spacing w:line="240" w:lineRule="auto"/>
              <w:ind w:left="0" w:firstLine="0"/>
              <w:rPr>
                <w:rFonts w:cs="Arial"/>
                <w:sz w:val="23"/>
                <w:szCs w:val="23"/>
              </w:rPr>
            </w:pPr>
          </w:p>
          <w:p w:rsidR="006D5342" w:rsidRDefault="006D5342" w:rsidP="006D5342">
            <w:pPr>
              <w:pStyle w:val="NLnormallist"/>
              <w:tabs>
                <w:tab w:val="left" w:pos="1604"/>
              </w:tabs>
              <w:spacing w:line="240" w:lineRule="auto"/>
              <w:ind w:left="0" w:firstLine="0"/>
              <w:rPr>
                <w:rFonts w:cs="Arial"/>
                <w:sz w:val="23"/>
                <w:szCs w:val="23"/>
              </w:rPr>
            </w:pPr>
          </w:p>
          <w:p w:rsidR="006D5342" w:rsidRDefault="006D5342" w:rsidP="006D5342">
            <w:pPr>
              <w:pStyle w:val="NLnormallist"/>
              <w:tabs>
                <w:tab w:val="left" w:pos="1604"/>
              </w:tabs>
              <w:spacing w:line="240" w:lineRule="auto"/>
              <w:ind w:left="0" w:firstLine="0"/>
              <w:rPr>
                <w:rFonts w:cs="Arial"/>
                <w:sz w:val="23"/>
                <w:szCs w:val="23"/>
              </w:rPr>
            </w:pPr>
          </w:p>
          <w:p w:rsidR="006D5342" w:rsidRDefault="006D5342" w:rsidP="006D5342">
            <w:pPr>
              <w:pStyle w:val="NLnormallist"/>
              <w:tabs>
                <w:tab w:val="left" w:pos="1604"/>
              </w:tabs>
              <w:spacing w:line="240" w:lineRule="auto"/>
              <w:ind w:left="0" w:firstLine="0"/>
              <w:rPr>
                <w:rFonts w:cs="Arial"/>
                <w:sz w:val="23"/>
                <w:szCs w:val="23"/>
              </w:rPr>
            </w:pPr>
          </w:p>
          <w:p w:rsidR="00DF501D" w:rsidRPr="00C252EC" w:rsidRDefault="00A765D4" w:rsidP="006D5342">
            <w:pPr>
              <w:pStyle w:val="NLnormallist"/>
              <w:tabs>
                <w:tab w:val="left" w:pos="1604"/>
              </w:tabs>
              <w:spacing w:line="240" w:lineRule="auto"/>
              <w:ind w:left="0" w:firstLine="0"/>
              <w:rPr>
                <w:rFonts w:cs="Arial"/>
                <w:sz w:val="22"/>
                <w:szCs w:val="22"/>
              </w:rPr>
            </w:pPr>
            <w:r w:rsidRPr="00C252EC">
              <w:rPr>
                <w:rFonts w:cs="Arial"/>
                <w:sz w:val="22"/>
                <w:szCs w:val="22"/>
              </w:rPr>
              <w:t xml:space="preserve">. </w:t>
            </w:r>
          </w:p>
        </w:tc>
      </w:tr>
      <w:tr w:rsidR="00DF501D" w:rsidTr="007D516C">
        <w:tc>
          <w:tcPr>
            <w:tcW w:w="5204" w:type="dxa"/>
          </w:tcPr>
          <w:p w:rsidR="00DF501D" w:rsidRPr="00C252EC" w:rsidRDefault="00DF501D" w:rsidP="00DF501D">
            <w:pPr>
              <w:jc w:val="center"/>
              <w:rPr>
                <w:rFonts w:cs="Arial"/>
                <w:b/>
              </w:rPr>
            </w:pPr>
            <w:r w:rsidRPr="00C252EC">
              <w:rPr>
                <w:rFonts w:cs="Arial"/>
                <w:b/>
              </w:rPr>
              <w:lastRenderedPageBreak/>
              <w:t>Autumn</w:t>
            </w:r>
          </w:p>
        </w:tc>
        <w:tc>
          <w:tcPr>
            <w:tcW w:w="6528" w:type="dxa"/>
            <w:gridSpan w:val="2"/>
          </w:tcPr>
          <w:p w:rsidR="00DF501D" w:rsidRPr="00C252EC" w:rsidRDefault="00DF501D" w:rsidP="00DF501D">
            <w:pPr>
              <w:jc w:val="center"/>
              <w:rPr>
                <w:rFonts w:cs="Arial"/>
                <w:b/>
              </w:rPr>
            </w:pPr>
            <w:r w:rsidRPr="00C252EC">
              <w:rPr>
                <w:rFonts w:cs="Arial"/>
                <w:b/>
              </w:rPr>
              <w:t>Spring</w:t>
            </w:r>
          </w:p>
        </w:tc>
        <w:tc>
          <w:tcPr>
            <w:tcW w:w="3882" w:type="dxa"/>
          </w:tcPr>
          <w:p w:rsidR="00DF501D" w:rsidRPr="00C252EC" w:rsidRDefault="00DF501D" w:rsidP="00DF501D">
            <w:pPr>
              <w:jc w:val="center"/>
              <w:rPr>
                <w:rFonts w:cs="Arial"/>
                <w:b/>
              </w:rPr>
            </w:pPr>
            <w:r w:rsidRPr="00C252EC">
              <w:rPr>
                <w:rFonts w:cs="Arial"/>
                <w:b/>
              </w:rPr>
              <w:t>Summer</w:t>
            </w:r>
          </w:p>
        </w:tc>
      </w:tr>
      <w:tr w:rsidR="00ED5284" w:rsidTr="007D516C">
        <w:tc>
          <w:tcPr>
            <w:tcW w:w="5204" w:type="dxa"/>
          </w:tcPr>
          <w:p w:rsidR="00C252EC" w:rsidRPr="00C252EC" w:rsidRDefault="00C252EC" w:rsidP="00C252EC">
            <w:pPr>
              <w:pStyle w:val="Default"/>
              <w:numPr>
                <w:ilvl w:val="0"/>
                <w:numId w:val="21"/>
              </w:numPr>
              <w:rPr>
                <w:rFonts w:eastAsia="Times New Roman"/>
                <w:sz w:val="20"/>
                <w:szCs w:val="20"/>
                <w:lang w:eastAsia="en-GB"/>
              </w:rPr>
            </w:pPr>
            <w:r w:rsidRPr="00C252EC">
              <w:rPr>
                <w:rFonts w:eastAsia="Times New Roman"/>
                <w:sz w:val="20"/>
                <w:szCs w:val="20"/>
                <w:lang w:eastAsia="en-GB"/>
              </w:rPr>
              <w:t xml:space="preserve">use common factors to simplify fractions; use common multiples to express fractions in the same denomination </w:t>
            </w:r>
          </w:p>
          <w:p w:rsidR="00C252EC" w:rsidRPr="00C252EC" w:rsidRDefault="00C252EC" w:rsidP="00C252EC">
            <w:pPr>
              <w:pStyle w:val="Default"/>
              <w:numPr>
                <w:ilvl w:val="0"/>
                <w:numId w:val="21"/>
              </w:numPr>
              <w:rPr>
                <w:rFonts w:eastAsia="Times New Roman"/>
                <w:sz w:val="20"/>
                <w:szCs w:val="20"/>
                <w:lang w:eastAsia="en-GB"/>
              </w:rPr>
            </w:pPr>
            <w:r w:rsidRPr="00C252EC">
              <w:rPr>
                <w:rFonts w:eastAsia="Times New Roman"/>
                <w:sz w:val="20"/>
                <w:szCs w:val="20"/>
                <w:lang w:eastAsia="en-GB"/>
              </w:rPr>
              <w:t>compare and order fractions, including fractions &gt; 1</w:t>
            </w:r>
          </w:p>
          <w:p w:rsidR="00C252EC" w:rsidRPr="00C252EC" w:rsidRDefault="00C252EC" w:rsidP="00C252EC">
            <w:pPr>
              <w:pStyle w:val="Default"/>
              <w:numPr>
                <w:ilvl w:val="0"/>
                <w:numId w:val="21"/>
              </w:numPr>
              <w:rPr>
                <w:rFonts w:eastAsia="Times New Roman"/>
                <w:sz w:val="20"/>
                <w:szCs w:val="20"/>
                <w:lang w:eastAsia="en-GB"/>
              </w:rPr>
            </w:pPr>
            <w:r w:rsidRPr="00C252EC">
              <w:rPr>
                <w:rFonts w:eastAsia="Times New Roman"/>
                <w:sz w:val="20"/>
                <w:szCs w:val="20"/>
                <w:lang w:eastAsia="en-GB"/>
              </w:rPr>
              <w:t>add and subtract fractions with different denominators and mixed numbers, using the concept of equivalent fractions</w:t>
            </w:r>
          </w:p>
          <w:p w:rsidR="00C252EC" w:rsidRPr="00C252EC" w:rsidRDefault="00C252EC" w:rsidP="00C252EC">
            <w:pPr>
              <w:pStyle w:val="Default"/>
              <w:numPr>
                <w:ilvl w:val="0"/>
                <w:numId w:val="21"/>
              </w:numPr>
              <w:rPr>
                <w:rFonts w:eastAsia="Times New Roman"/>
                <w:sz w:val="20"/>
                <w:szCs w:val="20"/>
                <w:lang w:eastAsia="en-GB"/>
              </w:rPr>
            </w:pPr>
            <w:r w:rsidRPr="00C252EC">
              <w:rPr>
                <w:rFonts w:eastAsia="Times New Roman"/>
                <w:sz w:val="20"/>
                <w:szCs w:val="20"/>
                <w:lang w:eastAsia="en-GB"/>
              </w:rPr>
              <w:t>multiply simple pairs of proper fractions, writing the answer in its simplest form [for example, ¼ x ½ = 1/8</w:t>
            </w:r>
          </w:p>
          <w:p w:rsidR="00C252EC" w:rsidRPr="00C252EC" w:rsidRDefault="00C252EC" w:rsidP="00C252EC">
            <w:pPr>
              <w:numPr>
                <w:ilvl w:val="0"/>
                <w:numId w:val="21"/>
              </w:numPr>
              <w:autoSpaceDE w:val="0"/>
              <w:autoSpaceDN w:val="0"/>
              <w:adjustRightInd w:val="0"/>
              <w:rPr>
                <w:rFonts w:cs="Arial"/>
                <w:color w:val="000000"/>
                <w:sz w:val="20"/>
                <w:szCs w:val="20"/>
                <w:lang w:val="en-GB" w:eastAsia="en-GB"/>
              </w:rPr>
            </w:pPr>
            <w:r w:rsidRPr="00C252EC">
              <w:rPr>
                <w:rFonts w:cs="Arial"/>
                <w:color w:val="000000"/>
                <w:sz w:val="20"/>
                <w:szCs w:val="20"/>
                <w:lang w:val="en-GB" w:eastAsia="en-GB"/>
              </w:rPr>
              <w:t>divide proper fractions by whole numbers [for example, 1/3 ÷ 2 = 1/6</w:t>
            </w:r>
          </w:p>
          <w:p w:rsidR="00ED5284" w:rsidRPr="00E66114" w:rsidRDefault="00C252EC" w:rsidP="00C252EC">
            <w:pPr>
              <w:pStyle w:val="Default"/>
              <w:numPr>
                <w:ilvl w:val="0"/>
                <w:numId w:val="21"/>
              </w:numPr>
            </w:pPr>
            <w:r w:rsidRPr="00C252EC">
              <w:rPr>
                <w:sz w:val="20"/>
                <w:szCs w:val="20"/>
                <w:lang w:eastAsia="en-GB"/>
              </w:rPr>
              <w:t>associate a fraction with division and calculate decimal fraction equivalents [for example, 0.375] for a simple fraction [for example 3/8]</w:t>
            </w:r>
          </w:p>
          <w:p w:rsidR="00E66114" w:rsidRPr="001E7503" w:rsidRDefault="00E66114" w:rsidP="00C252EC">
            <w:pPr>
              <w:pStyle w:val="Default"/>
              <w:numPr>
                <w:ilvl w:val="0"/>
                <w:numId w:val="21"/>
              </w:numPr>
              <w:rPr>
                <w:sz w:val="20"/>
                <w:szCs w:val="20"/>
              </w:rPr>
            </w:pPr>
            <w:proofErr w:type="gramStart"/>
            <w:r w:rsidRPr="001E7503">
              <w:rPr>
                <w:sz w:val="20"/>
                <w:szCs w:val="20"/>
              </w:rPr>
              <w:t>recall</w:t>
            </w:r>
            <w:proofErr w:type="gramEnd"/>
            <w:r w:rsidRPr="001E7503">
              <w:rPr>
                <w:sz w:val="20"/>
                <w:szCs w:val="20"/>
              </w:rPr>
              <w:t xml:space="preserve"> and use equivalences between simple fractions, decimals and percentages, including in different contexts.</w:t>
            </w:r>
          </w:p>
        </w:tc>
        <w:tc>
          <w:tcPr>
            <w:tcW w:w="6528" w:type="dxa"/>
            <w:gridSpan w:val="2"/>
          </w:tcPr>
          <w:p w:rsidR="00C252EC" w:rsidRPr="00C252EC" w:rsidRDefault="00C252EC" w:rsidP="00C252EC">
            <w:pPr>
              <w:pStyle w:val="Default"/>
              <w:numPr>
                <w:ilvl w:val="0"/>
                <w:numId w:val="22"/>
              </w:numPr>
              <w:rPr>
                <w:rFonts w:eastAsia="Times New Roman"/>
                <w:sz w:val="20"/>
                <w:szCs w:val="20"/>
                <w:lang w:eastAsia="en-GB"/>
              </w:rPr>
            </w:pPr>
            <w:r w:rsidRPr="00C252EC">
              <w:rPr>
                <w:rFonts w:eastAsia="Times New Roman"/>
                <w:sz w:val="20"/>
                <w:szCs w:val="20"/>
                <w:lang w:eastAsia="en-GB"/>
              </w:rPr>
              <w:t xml:space="preserve">use common factors to simplify fractions; use common multiples to express fractions in the same denomination </w:t>
            </w:r>
          </w:p>
          <w:p w:rsidR="00C252EC" w:rsidRPr="00C252EC" w:rsidRDefault="00C252EC" w:rsidP="00C252EC">
            <w:pPr>
              <w:pStyle w:val="Default"/>
              <w:numPr>
                <w:ilvl w:val="0"/>
                <w:numId w:val="22"/>
              </w:numPr>
              <w:rPr>
                <w:rFonts w:eastAsia="Times New Roman"/>
                <w:sz w:val="20"/>
                <w:szCs w:val="20"/>
                <w:lang w:eastAsia="en-GB"/>
              </w:rPr>
            </w:pPr>
            <w:r w:rsidRPr="00C252EC">
              <w:rPr>
                <w:rFonts w:eastAsia="Times New Roman"/>
                <w:sz w:val="20"/>
                <w:szCs w:val="20"/>
                <w:lang w:eastAsia="en-GB"/>
              </w:rPr>
              <w:t>compare and order fractions, including fractions &gt; 1</w:t>
            </w:r>
          </w:p>
          <w:p w:rsidR="00C252EC" w:rsidRPr="00C252EC" w:rsidRDefault="00C252EC" w:rsidP="00C252EC">
            <w:pPr>
              <w:pStyle w:val="Default"/>
              <w:numPr>
                <w:ilvl w:val="0"/>
                <w:numId w:val="22"/>
              </w:numPr>
              <w:rPr>
                <w:rFonts w:eastAsia="Times New Roman"/>
                <w:sz w:val="20"/>
                <w:szCs w:val="20"/>
                <w:lang w:eastAsia="en-GB"/>
              </w:rPr>
            </w:pPr>
            <w:r w:rsidRPr="00C252EC">
              <w:rPr>
                <w:rFonts w:eastAsia="Times New Roman"/>
                <w:sz w:val="20"/>
                <w:szCs w:val="20"/>
                <w:lang w:eastAsia="en-GB"/>
              </w:rPr>
              <w:t>add and subtract fractions with different denominators and mixed numbers, using the concept of equivalent fractions</w:t>
            </w:r>
          </w:p>
          <w:p w:rsidR="00C252EC" w:rsidRPr="00C252EC" w:rsidRDefault="00C252EC" w:rsidP="00C252EC">
            <w:pPr>
              <w:pStyle w:val="Default"/>
              <w:numPr>
                <w:ilvl w:val="0"/>
                <w:numId w:val="22"/>
              </w:numPr>
              <w:rPr>
                <w:rFonts w:eastAsia="Times New Roman"/>
                <w:sz w:val="20"/>
                <w:szCs w:val="20"/>
                <w:lang w:eastAsia="en-GB"/>
              </w:rPr>
            </w:pPr>
            <w:r w:rsidRPr="00C252EC">
              <w:rPr>
                <w:rFonts w:eastAsia="Times New Roman"/>
                <w:sz w:val="20"/>
                <w:szCs w:val="20"/>
                <w:lang w:eastAsia="en-GB"/>
              </w:rPr>
              <w:t>multiply simple pairs of proper fractions, writing the answer in its simplest form [for example, ¼ x ½ = 1/8</w:t>
            </w:r>
          </w:p>
          <w:p w:rsidR="00C252EC" w:rsidRPr="00C252EC" w:rsidRDefault="00C252EC" w:rsidP="00C252EC">
            <w:pPr>
              <w:numPr>
                <w:ilvl w:val="0"/>
                <w:numId w:val="22"/>
              </w:numPr>
              <w:autoSpaceDE w:val="0"/>
              <w:autoSpaceDN w:val="0"/>
              <w:adjustRightInd w:val="0"/>
              <w:rPr>
                <w:rFonts w:cs="Arial"/>
                <w:color w:val="000000"/>
                <w:sz w:val="20"/>
                <w:szCs w:val="20"/>
                <w:lang w:val="en-GB" w:eastAsia="en-GB"/>
              </w:rPr>
            </w:pPr>
            <w:r w:rsidRPr="00C252EC">
              <w:rPr>
                <w:rFonts w:cs="Arial"/>
                <w:color w:val="000000"/>
                <w:sz w:val="20"/>
                <w:szCs w:val="20"/>
                <w:lang w:val="en-GB" w:eastAsia="en-GB"/>
              </w:rPr>
              <w:t>divide proper fractions by whole numbers [for example, 1/3 ÷ 2 = 1/6</w:t>
            </w:r>
          </w:p>
          <w:p w:rsidR="00C252EC" w:rsidRPr="00C252EC" w:rsidRDefault="00C252EC" w:rsidP="00C252EC">
            <w:pPr>
              <w:numPr>
                <w:ilvl w:val="0"/>
                <w:numId w:val="22"/>
              </w:numPr>
              <w:autoSpaceDE w:val="0"/>
              <w:autoSpaceDN w:val="0"/>
              <w:adjustRightInd w:val="0"/>
              <w:rPr>
                <w:rFonts w:cs="Arial"/>
                <w:color w:val="000000"/>
                <w:sz w:val="20"/>
                <w:szCs w:val="20"/>
                <w:lang w:val="en-GB" w:eastAsia="en-GB"/>
              </w:rPr>
            </w:pPr>
            <w:r w:rsidRPr="00C252EC">
              <w:rPr>
                <w:rFonts w:cs="Arial"/>
                <w:color w:val="000000"/>
                <w:sz w:val="20"/>
                <w:szCs w:val="20"/>
                <w:lang w:val="en-GB" w:eastAsia="en-GB"/>
              </w:rPr>
              <w:t xml:space="preserve">associate a fraction with division and calculate decimal fraction equivalents [for example, 0.375] for a simple fraction [for example 3/8] </w:t>
            </w:r>
          </w:p>
          <w:p w:rsidR="00ED5284" w:rsidRPr="00C252EC" w:rsidRDefault="00ED5284" w:rsidP="00ED5284">
            <w:pPr>
              <w:pStyle w:val="Default"/>
              <w:ind w:left="113"/>
            </w:pPr>
          </w:p>
        </w:tc>
        <w:tc>
          <w:tcPr>
            <w:tcW w:w="3882" w:type="dxa"/>
          </w:tcPr>
          <w:p w:rsidR="00C252EC" w:rsidRPr="00C252EC" w:rsidRDefault="00C252EC" w:rsidP="00C252EC">
            <w:pPr>
              <w:pStyle w:val="Default"/>
              <w:rPr>
                <w:sz w:val="20"/>
                <w:szCs w:val="20"/>
                <w:lang w:val="en-US"/>
              </w:rPr>
            </w:pPr>
            <w:r w:rsidRPr="00C252EC">
              <w:rPr>
                <w:sz w:val="20"/>
                <w:szCs w:val="20"/>
                <w:lang w:val="en-US"/>
              </w:rPr>
              <w:t xml:space="preserve">Revision </w:t>
            </w:r>
          </w:p>
          <w:p w:rsidR="00C252EC" w:rsidRPr="00C252EC" w:rsidRDefault="00C252EC" w:rsidP="00C252EC">
            <w:pPr>
              <w:pStyle w:val="Default"/>
              <w:rPr>
                <w:sz w:val="20"/>
                <w:szCs w:val="20"/>
                <w:lang w:val="en-US"/>
              </w:rPr>
            </w:pPr>
          </w:p>
          <w:p w:rsidR="00ED5284" w:rsidRPr="00C252EC" w:rsidRDefault="00C252EC" w:rsidP="00C252EC">
            <w:pPr>
              <w:pStyle w:val="Default"/>
            </w:pPr>
            <w:r w:rsidRPr="00C252EC">
              <w:rPr>
                <w:sz w:val="20"/>
                <w:szCs w:val="20"/>
                <w:lang w:val="en-US"/>
              </w:rPr>
              <w:t>Continue to use and apply fractions knowledge through transition units.</w:t>
            </w:r>
          </w:p>
        </w:tc>
      </w:tr>
    </w:tbl>
    <w:p w:rsidR="00ED5284" w:rsidRDefault="00ED5284"/>
    <w:p w:rsidR="00ED5284" w:rsidRDefault="00ED5284"/>
    <w:p w:rsidR="00ED5284" w:rsidRDefault="00ED5284"/>
    <w:tbl>
      <w:tblPr>
        <w:tblStyle w:val="TableGrid"/>
        <w:tblW w:w="0" w:type="auto"/>
        <w:tblLook w:val="04A0" w:firstRow="1" w:lastRow="0" w:firstColumn="1" w:lastColumn="0" w:noHBand="0" w:noVBand="1"/>
      </w:tblPr>
      <w:tblGrid>
        <w:gridCol w:w="11732"/>
        <w:gridCol w:w="3882"/>
      </w:tblGrid>
      <w:tr w:rsidR="007D516C" w:rsidTr="007D516C">
        <w:tc>
          <w:tcPr>
            <w:tcW w:w="11732" w:type="dxa"/>
          </w:tcPr>
          <w:p w:rsidR="007D516C" w:rsidRDefault="007D516C">
            <w:r>
              <w:t>Key questions:</w:t>
            </w:r>
          </w:p>
          <w:p w:rsidR="007D516C" w:rsidRDefault="007D516C" w:rsidP="007D516C">
            <w:pPr>
              <w:pStyle w:val="ListParagraph"/>
              <w:numPr>
                <w:ilvl w:val="0"/>
                <w:numId w:val="23"/>
              </w:numPr>
            </w:pPr>
            <w:r>
              <w:t>Can I use and apply my knowledge of common multiples to simplify fractions?</w:t>
            </w:r>
          </w:p>
          <w:p w:rsidR="007D516C" w:rsidRDefault="007D516C" w:rsidP="007D516C">
            <w:pPr>
              <w:pStyle w:val="ListParagraph"/>
              <w:numPr>
                <w:ilvl w:val="0"/>
                <w:numId w:val="23"/>
              </w:numPr>
            </w:pPr>
            <w:r>
              <w:t>Can I confidently compare and order fractions?</w:t>
            </w:r>
          </w:p>
          <w:p w:rsidR="007D516C" w:rsidRDefault="007D516C" w:rsidP="007D516C">
            <w:pPr>
              <w:pStyle w:val="ListParagraph"/>
              <w:numPr>
                <w:ilvl w:val="0"/>
                <w:numId w:val="23"/>
              </w:numPr>
            </w:pPr>
            <w:r>
              <w:t>Can I add and subtract fractions?</w:t>
            </w:r>
          </w:p>
          <w:p w:rsidR="007D516C" w:rsidRDefault="007D516C" w:rsidP="007D516C">
            <w:pPr>
              <w:pStyle w:val="ListParagraph"/>
              <w:numPr>
                <w:ilvl w:val="0"/>
                <w:numId w:val="23"/>
              </w:numPr>
            </w:pPr>
            <w:r>
              <w:t>Can I multiply fractions?</w:t>
            </w:r>
          </w:p>
          <w:p w:rsidR="007D516C" w:rsidRDefault="007D516C" w:rsidP="007D516C">
            <w:pPr>
              <w:pStyle w:val="ListParagraph"/>
              <w:numPr>
                <w:ilvl w:val="0"/>
                <w:numId w:val="23"/>
              </w:numPr>
            </w:pPr>
            <w:r>
              <w:t>Can I divide proper fractions by whole numbers?</w:t>
            </w:r>
          </w:p>
          <w:p w:rsidR="007D516C" w:rsidRDefault="007D516C" w:rsidP="007D516C">
            <w:pPr>
              <w:pStyle w:val="ListParagraph"/>
              <w:numPr>
                <w:ilvl w:val="0"/>
                <w:numId w:val="23"/>
              </w:numPr>
            </w:pPr>
            <w:r>
              <w:t xml:space="preserve">Can I calculate decimal fraction equivalents? </w:t>
            </w:r>
          </w:p>
          <w:p w:rsidR="001E7503" w:rsidRDefault="001E7503" w:rsidP="007D516C">
            <w:pPr>
              <w:pStyle w:val="ListParagraph"/>
              <w:numPr>
                <w:ilvl w:val="0"/>
                <w:numId w:val="23"/>
              </w:numPr>
            </w:pPr>
            <w:r>
              <w:t xml:space="preserve">Can I recall and use equivalences between simple fractions, decimals and percentages in different contexts? </w:t>
            </w:r>
          </w:p>
          <w:p w:rsidR="007D516C" w:rsidRDefault="007D516C"/>
          <w:p w:rsidR="007D516C" w:rsidRDefault="007D516C"/>
          <w:p w:rsidR="007D516C" w:rsidRDefault="007D516C" w:rsidP="00BE68F5">
            <w:r>
              <w:t xml:space="preserve"> </w:t>
            </w:r>
          </w:p>
        </w:tc>
        <w:tc>
          <w:tcPr>
            <w:tcW w:w="3882" w:type="dxa"/>
          </w:tcPr>
          <w:p w:rsidR="007D516C" w:rsidRDefault="007D516C">
            <w:r>
              <w:t>Key questions:</w:t>
            </w:r>
          </w:p>
        </w:tc>
      </w:tr>
    </w:tbl>
    <w:p w:rsidR="00DF501D" w:rsidRDefault="00DF501D"/>
    <w:p w:rsidR="001A6FBB" w:rsidRDefault="001A6FBB"/>
    <w:p w:rsidR="001A6FBB" w:rsidRDefault="001A6FBB"/>
    <w:sectPr w:rsidR="001A6FBB" w:rsidSect="00273126">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1E" w:rsidRDefault="0096571E" w:rsidP="00D25C9C">
      <w:r>
        <w:separator/>
      </w:r>
    </w:p>
  </w:endnote>
  <w:endnote w:type="continuationSeparator" w:id="0">
    <w:p w:rsidR="0096571E" w:rsidRDefault="0096571E" w:rsidP="00D2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1E" w:rsidRDefault="0096571E" w:rsidP="00D25C9C">
      <w:r>
        <w:separator/>
      </w:r>
    </w:p>
  </w:footnote>
  <w:footnote w:type="continuationSeparator" w:id="0">
    <w:p w:rsidR="0096571E" w:rsidRDefault="0096571E" w:rsidP="00D2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9C" w:rsidRDefault="00D25C9C">
    <w:pPr>
      <w:pStyle w:val="Header"/>
    </w:pPr>
    <w:r>
      <w:t xml:space="preserve">August 2015 Hart and </w:t>
    </w:r>
    <w:proofErr w:type="spellStart"/>
    <w:r>
      <w:t>Rushmoor</w:t>
    </w:r>
    <w:proofErr w:type="spellEnd"/>
    <w:r>
      <w:t xml:space="preserve"> planning / assessment</w:t>
    </w:r>
  </w:p>
  <w:p w:rsidR="00D25C9C" w:rsidRDefault="00D2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A5AA9"/>
    <w:multiLevelType w:val="hybridMultilevel"/>
    <w:tmpl w:val="B92A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06341"/>
    <w:multiLevelType w:val="hybridMultilevel"/>
    <w:tmpl w:val="61A0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8A0962"/>
    <w:multiLevelType w:val="hybridMultilevel"/>
    <w:tmpl w:val="4D0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545DE"/>
    <w:multiLevelType w:val="hybridMultilevel"/>
    <w:tmpl w:val="2DB2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D7C2E"/>
    <w:multiLevelType w:val="hybridMultilevel"/>
    <w:tmpl w:val="6284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1E7FE3"/>
    <w:multiLevelType w:val="hybridMultilevel"/>
    <w:tmpl w:val="4AF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5">
    <w:nsid w:val="520C6744"/>
    <w:multiLevelType w:val="hybridMultilevel"/>
    <w:tmpl w:val="4C3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A21221"/>
    <w:multiLevelType w:val="hybridMultilevel"/>
    <w:tmpl w:val="11E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9">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8"/>
  </w:num>
  <w:num w:numId="4">
    <w:abstractNumId w:val="19"/>
  </w:num>
  <w:num w:numId="5">
    <w:abstractNumId w:val="17"/>
  </w:num>
  <w:num w:numId="6">
    <w:abstractNumId w:val="13"/>
  </w:num>
  <w:num w:numId="7">
    <w:abstractNumId w:val="22"/>
  </w:num>
  <w:num w:numId="8">
    <w:abstractNumId w:val="23"/>
  </w:num>
  <w:num w:numId="9">
    <w:abstractNumId w:val="11"/>
  </w:num>
  <w:num w:numId="10">
    <w:abstractNumId w:val="5"/>
  </w:num>
  <w:num w:numId="11">
    <w:abstractNumId w:val="1"/>
  </w:num>
  <w:num w:numId="12">
    <w:abstractNumId w:val="12"/>
  </w:num>
  <w:num w:numId="13">
    <w:abstractNumId w:val="8"/>
  </w:num>
  <w:num w:numId="14">
    <w:abstractNumId w:val="9"/>
  </w:num>
  <w:num w:numId="15">
    <w:abstractNumId w:val="4"/>
  </w:num>
  <w:num w:numId="16">
    <w:abstractNumId w:val="0"/>
  </w:num>
  <w:num w:numId="17">
    <w:abstractNumId w:val="20"/>
  </w:num>
  <w:num w:numId="18">
    <w:abstractNumId w:val="6"/>
  </w:num>
  <w:num w:numId="19">
    <w:abstractNumId w:val="3"/>
  </w:num>
  <w:num w:numId="20">
    <w:abstractNumId w:val="7"/>
  </w:num>
  <w:num w:numId="21">
    <w:abstractNumId w:val="15"/>
  </w:num>
  <w:num w:numId="22">
    <w:abstractNumId w:val="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1A6FBB"/>
    <w:rsid w:val="001E7503"/>
    <w:rsid w:val="002118C0"/>
    <w:rsid w:val="00273126"/>
    <w:rsid w:val="00275AD9"/>
    <w:rsid w:val="00325F97"/>
    <w:rsid w:val="004369D1"/>
    <w:rsid w:val="006D5342"/>
    <w:rsid w:val="007D516C"/>
    <w:rsid w:val="008124DB"/>
    <w:rsid w:val="0083560C"/>
    <w:rsid w:val="008626FA"/>
    <w:rsid w:val="00884AF3"/>
    <w:rsid w:val="008F7BD0"/>
    <w:rsid w:val="0096571E"/>
    <w:rsid w:val="009A0C2E"/>
    <w:rsid w:val="00A765D4"/>
    <w:rsid w:val="00B10089"/>
    <w:rsid w:val="00BE68F5"/>
    <w:rsid w:val="00BF1B92"/>
    <w:rsid w:val="00C252EC"/>
    <w:rsid w:val="00C7386A"/>
    <w:rsid w:val="00D034EA"/>
    <w:rsid w:val="00D25C9C"/>
    <w:rsid w:val="00D818ED"/>
    <w:rsid w:val="00DF501D"/>
    <w:rsid w:val="00E66114"/>
    <w:rsid w:val="00ED5284"/>
    <w:rsid w:val="00FB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character" w:styleId="Hyperlink">
    <w:name w:val="Hyperlink"/>
    <w:rsid w:val="00C252EC"/>
    <w:rPr>
      <w:color w:val="0000FF"/>
      <w:u w:val="single"/>
    </w:rPr>
  </w:style>
  <w:style w:type="paragraph" w:styleId="Header">
    <w:name w:val="header"/>
    <w:basedOn w:val="Normal"/>
    <w:link w:val="HeaderChar"/>
    <w:uiPriority w:val="99"/>
    <w:unhideWhenUsed/>
    <w:rsid w:val="00D25C9C"/>
    <w:pPr>
      <w:tabs>
        <w:tab w:val="center" w:pos="4513"/>
        <w:tab w:val="right" w:pos="9026"/>
      </w:tabs>
    </w:pPr>
  </w:style>
  <w:style w:type="character" w:customStyle="1" w:styleId="HeaderChar">
    <w:name w:val="Header Char"/>
    <w:basedOn w:val="DefaultParagraphFont"/>
    <w:link w:val="Header"/>
    <w:uiPriority w:val="99"/>
    <w:rsid w:val="00D25C9C"/>
    <w:rPr>
      <w:rFonts w:ascii="Arial" w:eastAsia="Times New Roman" w:hAnsi="Arial" w:cs="Times New Roman"/>
      <w:sz w:val="24"/>
      <w:szCs w:val="24"/>
      <w:lang w:val="en-US"/>
    </w:rPr>
  </w:style>
  <w:style w:type="paragraph" w:styleId="Footer">
    <w:name w:val="footer"/>
    <w:basedOn w:val="Normal"/>
    <w:link w:val="FooterChar"/>
    <w:uiPriority w:val="99"/>
    <w:unhideWhenUsed/>
    <w:rsid w:val="00D25C9C"/>
    <w:pPr>
      <w:tabs>
        <w:tab w:val="center" w:pos="4513"/>
        <w:tab w:val="right" w:pos="9026"/>
      </w:tabs>
    </w:pPr>
  </w:style>
  <w:style w:type="character" w:customStyle="1" w:styleId="FooterChar">
    <w:name w:val="Footer Char"/>
    <w:basedOn w:val="DefaultParagraphFont"/>
    <w:link w:val="Footer"/>
    <w:uiPriority w:val="99"/>
    <w:rsid w:val="00D25C9C"/>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character" w:styleId="Hyperlink">
    <w:name w:val="Hyperlink"/>
    <w:rsid w:val="00C252EC"/>
    <w:rPr>
      <w:color w:val="0000FF"/>
      <w:u w:val="single"/>
    </w:rPr>
  </w:style>
  <w:style w:type="paragraph" w:styleId="Header">
    <w:name w:val="header"/>
    <w:basedOn w:val="Normal"/>
    <w:link w:val="HeaderChar"/>
    <w:uiPriority w:val="99"/>
    <w:unhideWhenUsed/>
    <w:rsid w:val="00D25C9C"/>
    <w:pPr>
      <w:tabs>
        <w:tab w:val="center" w:pos="4513"/>
        <w:tab w:val="right" w:pos="9026"/>
      </w:tabs>
    </w:pPr>
  </w:style>
  <w:style w:type="character" w:customStyle="1" w:styleId="HeaderChar">
    <w:name w:val="Header Char"/>
    <w:basedOn w:val="DefaultParagraphFont"/>
    <w:link w:val="Header"/>
    <w:uiPriority w:val="99"/>
    <w:rsid w:val="00D25C9C"/>
    <w:rPr>
      <w:rFonts w:ascii="Arial" w:eastAsia="Times New Roman" w:hAnsi="Arial" w:cs="Times New Roman"/>
      <w:sz w:val="24"/>
      <w:szCs w:val="24"/>
      <w:lang w:val="en-US"/>
    </w:rPr>
  </w:style>
  <w:style w:type="paragraph" w:styleId="Footer">
    <w:name w:val="footer"/>
    <w:basedOn w:val="Normal"/>
    <w:link w:val="FooterChar"/>
    <w:uiPriority w:val="99"/>
    <w:unhideWhenUsed/>
    <w:rsid w:val="00D25C9C"/>
    <w:pPr>
      <w:tabs>
        <w:tab w:val="center" w:pos="4513"/>
        <w:tab w:val="right" w:pos="9026"/>
      </w:tabs>
    </w:pPr>
  </w:style>
  <w:style w:type="character" w:customStyle="1" w:styleId="FooterChar">
    <w:name w:val="Footer Char"/>
    <w:basedOn w:val="DefaultParagraphFont"/>
    <w:link w:val="Footer"/>
    <w:uiPriority w:val="99"/>
    <w:rsid w:val="00D25C9C"/>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public/files/23305653/Mastery_Assessment_Y6_Low_R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etm.org.uk/public/files/23305653/Mastery_Assessment_Y6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26</cp:revision>
  <cp:lastPrinted>2015-03-22T23:43:00Z</cp:lastPrinted>
  <dcterms:created xsi:type="dcterms:W3CDTF">2015-03-22T17:41:00Z</dcterms:created>
  <dcterms:modified xsi:type="dcterms:W3CDTF">2015-08-09T23:07:00Z</dcterms:modified>
</cp:coreProperties>
</file>