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320"/>
        <w:gridCol w:w="2602"/>
        <w:gridCol w:w="5205"/>
      </w:tblGrid>
      <w:tr w:rsidR="00DF501D" w:rsidTr="002D3D42">
        <w:tc>
          <w:tcPr>
            <w:tcW w:w="15614" w:type="dxa"/>
            <w:gridSpan w:val="4"/>
            <w:shd w:val="clear" w:color="auto" w:fill="F79646" w:themeFill="accent6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 w:rsidR="00DF501D" w:rsidRPr="00D328C6" w:rsidRDefault="00DF501D" w:rsidP="00DF501D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D328C6">
              <w:rPr>
                <w:rFonts w:cs="Arial"/>
                <w:b/>
                <w:sz w:val="28"/>
                <w:szCs w:val="28"/>
                <w:lang w:val="en-GB"/>
              </w:rPr>
              <w:t xml:space="preserve">Year </w:t>
            </w:r>
            <w:r w:rsidR="002D3D42">
              <w:rPr>
                <w:rFonts w:cs="Arial"/>
                <w:b/>
                <w:sz w:val="28"/>
                <w:szCs w:val="28"/>
                <w:lang w:val="en-GB"/>
              </w:rPr>
              <w:t>2</w:t>
            </w:r>
            <w:r w:rsidRPr="00D328C6">
              <w:rPr>
                <w:rFonts w:cs="Arial"/>
                <w:b/>
                <w:lang w:val="en-GB"/>
              </w:rPr>
              <w:t xml:space="preserve">  </w:t>
            </w:r>
            <w:r>
              <w:rPr>
                <w:rFonts w:cs="Arial"/>
                <w:b/>
                <w:lang w:val="en-GB"/>
              </w:rPr>
              <w:t xml:space="preserve">- 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Building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and assessing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 xml:space="preserve"> the 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>conceptual understanding and l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earning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– </w:t>
            </w:r>
            <w:r w:rsidR="00BC20BB">
              <w:rPr>
                <w:rFonts w:cs="Arial"/>
                <w:b/>
                <w:sz w:val="28"/>
                <w:szCs w:val="28"/>
                <w:lang w:val="en-GB"/>
              </w:rPr>
              <w:t>Statistics</w:t>
            </w:r>
          </w:p>
          <w:p w:rsidR="00DF501D" w:rsidRDefault="00DF501D"/>
        </w:tc>
      </w:tr>
      <w:tr w:rsidR="00DF501D" w:rsidTr="00DF501D">
        <w:tc>
          <w:tcPr>
            <w:tcW w:w="7807" w:type="dxa"/>
            <w:gridSpan w:val="2"/>
          </w:tcPr>
          <w:p w:rsidR="00C61B77" w:rsidRDefault="00C61B77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4"/>
                <w:szCs w:val="24"/>
              </w:rPr>
            </w:pPr>
          </w:p>
          <w:p w:rsidR="00DF501D" w:rsidRPr="002D3D42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D42">
              <w:rPr>
                <w:rFonts w:asciiTheme="minorHAnsi" w:hAnsiTheme="minorHAnsi" w:cstheme="minorHAnsi"/>
                <w:b/>
                <w:sz w:val="24"/>
                <w:szCs w:val="24"/>
              </w:rPr>
              <w:t>End of Year Expectations:</w:t>
            </w:r>
          </w:p>
          <w:p w:rsidR="002D3D42" w:rsidRPr="002D3D42" w:rsidRDefault="002D3D42" w:rsidP="002D3D42">
            <w:pPr>
              <w:pStyle w:val="Default"/>
              <w:rPr>
                <w:rFonts w:asciiTheme="minorHAnsi" w:hAnsiTheme="minorHAnsi" w:cstheme="minorHAnsi"/>
              </w:rPr>
            </w:pPr>
            <w:r w:rsidRPr="002D3D42">
              <w:rPr>
                <w:rFonts w:asciiTheme="minorHAnsi" w:hAnsiTheme="minorHAnsi" w:cstheme="minorHAnsi"/>
              </w:rPr>
              <w:t xml:space="preserve">Pupils should be taught to: </w:t>
            </w:r>
          </w:p>
          <w:p w:rsidR="002D3D42" w:rsidRPr="002D3D42" w:rsidRDefault="002D3D42" w:rsidP="002D3D4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D3D42">
              <w:rPr>
                <w:rFonts w:asciiTheme="minorHAnsi" w:hAnsiTheme="minorHAnsi" w:cstheme="minorHAnsi"/>
              </w:rPr>
              <w:t xml:space="preserve">interpret and construct simple pictograms, tally charts, block diagrams and simple tables </w:t>
            </w:r>
          </w:p>
          <w:p w:rsidR="002D3D42" w:rsidRPr="002D3D42" w:rsidRDefault="002D3D42" w:rsidP="002D3D4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D3D42">
              <w:rPr>
                <w:rFonts w:asciiTheme="minorHAnsi" w:hAnsiTheme="minorHAnsi" w:cstheme="minorHAnsi"/>
              </w:rPr>
              <w:t xml:space="preserve">ask and answer simple questions by counting the number of objects in each category and sorting the categories by quantity </w:t>
            </w:r>
          </w:p>
          <w:p w:rsidR="002D3D42" w:rsidRPr="002D3D42" w:rsidRDefault="002D3D42" w:rsidP="002D3D4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gramStart"/>
            <w:r w:rsidRPr="002D3D42">
              <w:rPr>
                <w:rFonts w:asciiTheme="minorHAnsi" w:hAnsiTheme="minorHAnsi" w:cstheme="minorHAnsi"/>
              </w:rPr>
              <w:t>ask</w:t>
            </w:r>
            <w:proofErr w:type="gramEnd"/>
            <w:r w:rsidRPr="002D3D42">
              <w:rPr>
                <w:rFonts w:asciiTheme="minorHAnsi" w:hAnsiTheme="minorHAnsi" w:cstheme="minorHAnsi"/>
              </w:rPr>
              <w:t xml:space="preserve"> and answer questions about totalling and comparing categorical data. </w:t>
            </w:r>
          </w:p>
          <w:p w:rsidR="002D3D42" w:rsidRPr="002D3D42" w:rsidRDefault="002D3D42" w:rsidP="002D3D4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:rsidR="00DF501D" w:rsidRDefault="00DF501D" w:rsidP="002D3D42">
            <w:pPr>
              <w:pStyle w:val="NLnormallist"/>
              <w:spacing w:line="240" w:lineRule="auto"/>
              <w:ind w:left="113" w:firstLine="0"/>
            </w:pPr>
          </w:p>
        </w:tc>
        <w:tc>
          <w:tcPr>
            <w:tcW w:w="7807" w:type="dxa"/>
            <w:gridSpan w:val="2"/>
          </w:tcPr>
          <w:p w:rsidR="00C61B77" w:rsidRDefault="00C61B77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4"/>
                <w:szCs w:val="24"/>
              </w:rPr>
            </w:pPr>
          </w:p>
          <w:p w:rsidR="00DF501D" w:rsidRPr="002D3D42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D42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2D3D42" w:rsidRPr="002D3D42" w:rsidRDefault="002D3D42" w:rsidP="002D3D4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D3D42">
              <w:rPr>
                <w:rFonts w:asciiTheme="minorHAnsi" w:hAnsiTheme="minorHAnsi" w:cstheme="minorHAnsi"/>
                <w:sz w:val="23"/>
                <w:szCs w:val="23"/>
              </w:rPr>
              <w:t xml:space="preserve">Pupils record, interpret, collate, organise and compare information (e.g. using many-to-one correspondence with simple ratios 2, 5, 10). </w:t>
            </w:r>
          </w:p>
          <w:p w:rsidR="00842539" w:rsidRPr="002D3D42" w:rsidRDefault="00BC20BB" w:rsidP="00BC20BB">
            <w:pPr>
              <w:pStyle w:val="Default"/>
              <w:rPr>
                <w:rFonts w:asciiTheme="minorHAnsi" w:hAnsiTheme="minorHAnsi" w:cstheme="minorHAnsi"/>
              </w:rPr>
            </w:pPr>
            <w:r w:rsidRPr="002D3D42">
              <w:rPr>
                <w:rFonts w:asciiTheme="minorHAnsi" w:hAnsiTheme="minorHAnsi" w:cstheme="minorHAnsi"/>
              </w:rPr>
              <w:t xml:space="preserve"> </w:t>
            </w:r>
          </w:p>
          <w:p w:rsidR="00842539" w:rsidRPr="002D3D42" w:rsidRDefault="001F4D25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4D2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072467" cy="1403985"/>
                      <wp:effectExtent l="0" t="0" r="2349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2467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D25" w:rsidRPr="00B02AED" w:rsidRDefault="001F4D25" w:rsidP="001F4D2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02AED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See NCETM “Teaching for Mastery” Year 2 book –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statistics</w:t>
                                  </w:r>
                                  <w:r w:rsidRPr="00B02AED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1F4D25" w:rsidRDefault="001F4D25">
                                  <w:r w:rsidRPr="00B02AED">
                                    <w:t>https://www.ncetm.org.uk/public/files/23305579/Mastery_Assessment_Y2_Low_Res.pdf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20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" fillcolor="#f79646 [3209]">
                      <v:textbox style="mso-fit-shape-to-text:t">
                        <w:txbxContent>
                          <w:p w:rsidR="001F4D25" w:rsidRPr="00B02AED" w:rsidRDefault="001F4D25" w:rsidP="001F4D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02A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See NCETM “Teaching for Mastery” Year 2 book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statistics</w:t>
                            </w:r>
                            <w:r w:rsidRPr="00B02AE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F4D25" w:rsidRDefault="001F4D25">
                            <w:r w:rsidRPr="00B02AED">
                              <w:t>https://www.ncetm.org.uk/public/files/23305579/Mastery_Assessment_Y2_Low_Res.pdf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01D" w:rsidRDefault="00C7386A" w:rsidP="00C7386A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DF501D" w:rsidTr="000E539E">
        <w:tc>
          <w:tcPr>
            <w:tcW w:w="6487" w:type="dxa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Autumn</w:t>
            </w:r>
          </w:p>
        </w:tc>
        <w:tc>
          <w:tcPr>
            <w:tcW w:w="3922" w:type="dxa"/>
            <w:gridSpan w:val="2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Spring</w:t>
            </w:r>
          </w:p>
        </w:tc>
        <w:tc>
          <w:tcPr>
            <w:tcW w:w="5205" w:type="dxa"/>
          </w:tcPr>
          <w:p w:rsidR="00DF501D" w:rsidRPr="00712AC1" w:rsidRDefault="00DF501D" w:rsidP="00DF501D">
            <w:pPr>
              <w:jc w:val="center"/>
              <w:rPr>
                <w:b/>
              </w:rPr>
            </w:pPr>
            <w:r w:rsidRPr="00712AC1">
              <w:rPr>
                <w:b/>
              </w:rPr>
              <w:t>Summer</w:t>
            </w:r>
          </w:p>
        </w:tc>
      </w:tr>
      <w:tr w:rsidR="002D3D42" w:rsidTr="000E539E">
        <w:tc>
          <w:tcPr>
            <w:tcW w:w="6487" w:type="dxa"/>
          </w:tcPr>
          <w:p w:rsidR="002D3D42" w:rsidRPr="002D3D42" w:rsidRDefault="002D3D42" w:rsidP="002D3D42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D3D42">
              <w:rPr>
                <w:rFonts w:asciiTheme="minorHAnsi" w:hAnsiTheme="minorHAnsi" w:cstheme="minorHAnsi"/>
              </w:rPr>
              <w:t xml:space="preserve">interpret and construct simple pictograms, tally charts, block diagrams and simple tables </w:t>
            </w:r>
          </w:p>
          <w:p w:rsidR="002D3D42" w:rsidRPr="002D3D42" w:rsidRDefault="002D3D42" w:rsidP="002D3D42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2D3D42">
              <w:rPr>
                <w:rFonts w:asciiTheme="minorHAnsi" w:hAnsiTheme="minorHAnsi" w:cstheme="minorHAnsi"/>
              </w:rPr>
              <w:t xml:space="preserve">ask and answer simple questions by counting the number of objects in each category and sorting the categories by quantity </w:t>
            </w:r>
          </w:p>
          <w:p w:rsidR="002D3D42" w:rsidRPr="00842539" w:rsidRDefault="002D3D42" w:rsidP="000E539E">
            <w:pPr>
              <w:pStyle w:val="Default"/>
              <w:numPr>
                <w:ilvl w:val="0"/>
                <w:numId w:val="14"/>
              </w:numPr>
            </w:pPr>
            <w:proofErr w:type="gramStart"/>
            <w:r w:rsidRPr="002D3D42">
              <w:rPr>
                <w:rFonts w:asciiTheme="minorHAnsi" w:hAnsiTheme="minorHAnsi" w:cstheme="minorHAnsi"/>
              </w:rPr>
              <w:t>ask</w:t>
            </w:r>
            <w:proofErr w:type="gramEnd"/>
            <w:r w:rsidRPr="002D3D42">
              <w:rPr>
                <w:rFonts w:asciiTheme="minorHAnsi" w:hAnsiTheme="minorHAnsi" w:cstheme="minorHAnsi"/>
              </w:rPr>
              <w:t xml:space="preserve"> and answer questions about totalling and comparing categorical data. </w:t>
            </w:r>
          </w:p>
        </w:tc>
        <w:tc>
          <w:tcPr>
            <w:tcW w:w="9127" w:type="dxa"/>
            <w:gridSpan w:val="3"/>
          </w:tcPr>
          <w:p w:rsidR="002D3D42" w:rsidRPr="002D3D42" w:rsidRDefault="002D3D42" w:rsidP="000E539E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 w:rsidRPr="002D3D42">
              <w:rPr>
                <w:rFonts w:asciiTheme="minorHAnsi" w:hAnsiTheme="minorHAnsi" w:cstheme="minorHAnsi"/>
              </w:rPr>
              <w:t>Pupils should have opportunities to make cross-curricular links, using and applying their skills in this domain to a range of topic-related data, with a particular focus on interpreting data and answering questions about the information in a range of representations.</w:t>
            </w:r>
            <w:r w:rsidR="000E539E">
              <w:rPr>
                <w:rFonts w:asciiTheme="minorHAnsi" w:hAnsiTheme="minorHAnsi" w:cstheme="minorHAnsi"/>
              </w:rPr>
              <w:t xml:space="preserve"> Ensure these opportunities are explicit in topic planning and used to assess knowledge and understanding of statistics. This should also link to computing, with explicit links and assessment opportunities.</w:t>
            </w:r>
          </w:p>
        </w:tc>
      </w:tr>
    </w:tbl>
    <w:p w:rsidR="004369D1" w:rsidRDefault="00436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127"/>
      </w:tblGrid>
      <w:tr w:rsidR="002D3D42" w:rsidTr="000E539E">
        <w:tc>
          <w:tcPr>
            <w:tcW w:w="6487" w:type="dxa"/>
          </w:tcPr>
          <w:p w:rsidR="002D3D42" w:rsidRDefault="002D3D42" w:rsidP="000E539E">
            <w:pPr>
              <w:pStyle w:val="NLnormallis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Key questions:</w:t>
            </w:r>
          </w:p>
          <w:p w:rsidR="002D3D42" w:rsidRPr="001F4D25" w:rsidRDefault="002D3D42" w:rsidP="002D3D42">
            <w:pPr>
              <w:pStyle w:val="NLnormal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F4D25">
              <w:rPr>
                <w:rFonts w:asciiTheme="minorHAnsi" w:hAnsiTheme="minorHAnsi" w:cstheme="minorHAnsi"/>
              </w:rPr>
              <w:t>Can I present information appropriately in simple pictograms, tally charts, block diagrams and tables, deciding upon a suitable representation?</w:t>
            </w:r>
          </w:p>
          <w:p w:rsidR="002D3D42" w:rsidRPr="001F4D25" w:rsidRDefault="002D3D42" w:rsidP="002D3D42">
            <w:pPr>
              <w:pStyle w:val="NLnormal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F4D25">
              <w:rPr>
                <w:rFonts w:asciiTheme="minorHAnsi" w:hAnsiTheme="minorHAnsi" w:cstheme="minorHAnsi"/>
              </w:rPr>
              <w:t>Can I answer simple questions about the information in all of the above – using counting and sorting skills?</w:t>
            </w:r>
          </w:p>
          <w:p w:rsidR="002D3D42" w:rsidRPr="001F4D25" w:rsidRDefault="002D3D42" w:rsidP="002D3D42">
            <w:pPr>
              <w:pStyle w:val="NLnormal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1F4D25">
              <w:rPr>
                <w:rFonts w:asciiTheme="minorHAnsi" w:hAnsiTheme="minorHAnsi" w:cstheme="minorHAnsi"/>
              </w:rPr>
              <w:t>Can I ask and answer questions about totalling and comparing categorical data?</w:t>
            </w:r>
          </w:p>
          <w:p w:rsidR="002D3D42" w:rsidRDefault="002D3D42" w:rsidP="000E539E">
            <w:pPr>
              <w:pStyle w:val="NLnormallist"/>
              <w:numPr>
                <w:ilvl w:val="0"/>
                <w:numId w:val="11"/>
              </w:numPr>
            </w:pPr>
            <w:r w:rsidRPr="001F4D25">
              <w:rPr>
                <w:rFonts w:asciiTheme="minorHAnsi" w:hAnsiTheme="minorHAnsi" w:cstheme="minorHAnsi"/>
              </w:rPr>
              <w:t xml:space="preserve">Can I use scales and representations in steps other than one in the context of charts, pictograms and block diagrams (e.g. 2’s, 5’s, </w:t>
            </w:r>
            <w:proofErr w:type="gramStart"/>
            <w:r w:rsidRPr="001F4D25">
              <w:rPr>
                <w:rFonts w:asciiTheme="minorHAnsi" w:hAnsiTheme="minorHAnsi" w:cstheme="minorHAnsi"/>
              </w:rPr>
              <w:t>20’s</w:t>
            </w:r>
            <w:proofErr w:type="gramEnd"/>
            <w:r w:rsidRPr="001F4D2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9127" w:type="dxa"/>
          </w:tcPr>
          <w:p w:rsidR="002D3D42" w:rsidRDefault="002D3D42">
            <w:pPr>
              <w:rPr>
                <w:b/>
                <w:sz w:val="18"/>
                <w:szCs w:val="18"/>
              </w:rPr>
            </w:pPr>
            <w:r w:rsidRPr="00DF501D">
              <w:rPr>
                <w:b/>
                <w:sz w:val="18"/>
                <w:szCs w:val="18"/>
              </w:rPr>
              <w:t>Key questions:</w:t>
            </w:r>
          </w:p>
          <w:p w:rsidR="002D3D42" w:rsidRDefault="002D3D42">
            <w:pPr>
              <w:rPr>
                <w:b/>
                <w:sz w:val="18"/>
                <w:szCs w:val="18"/>
              </w:rPr>
            </w:pPr>
          </w:p>
          <w:p w:rsidR="002D3D42" w:rsidRDefault="002D3D42">
            <w:pPr>
              <w:rPr>
                <w:b/>
                <w:sz w:val="18"/>
                <w:szCs w:val="18"/>
              </w:rPr>
            </w:pPr>
          </w:p>
          <w:p w:rsidR="002D3D42" w:rsidRPr="000E539E" w:rsidRDefault="002D3D42" w:rsidP="000E539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E539E">
              <w:rPr>
                <w:rFonts w:asciiTheme="minorHAnsi" w:hAnsiTheme="minorHAnsi" w:cstheme="minorHAnsi"/>
              </w:rPr>
              <w:t>In topic work</w:t>
            </w:r>
            <w:r w:rsidR="000E539E">
              <w:rPr>
                <w:rFonts w:asciiTheme="minorHAnsi" w:hAnsiTheme="minorHAnsi" w:cstheme="minorHAnsi"/>
              </w:rPr>
              <w:t xml:space="preserve"> and computing</w:t>
            </w:r>
            <w:r w:rsidRPr="000E539E">
              <w:rPr>
                <w:rFonts w:asciiTheme="minorHAnsi" w:hAnsiTheme="minorHAnsi" w:cstheme="minorHAnsi"/>
              </w:rPr>
              <w:t>, can I demonstrate my understanding of pictograms, tally charts, block diagrams and tables by using and interpreting them appropriately</w:t>
            </w:r>
            <w:r w:rsidR="000E539E" w:rsidRPr="000E539E">
              <w:rPr>
                <w:rFonts w:asciiTheme="minorHAnsi" w:hAnsiTheme="minorHAnsi" w:cstheme="minorHAnsi"/>
              </w:rPr>
              <w:t xml:space="preserve"> to represent, explain and compare data? </w:t>
            </w:r>
          </w:p>
          <w:p w:rsidR="002D3D42" w:rsidRDefault="002D3D42">
            <w:pPr>
              <w:rPr>
                <w:b/>
                <w:sz w:val="18"/>
                <w:szCs w:val="18"/>
              </w:rPr>
            </w:pPr>
          </w:p>
          <w:p w:rsidR="002D3D42" w:rsidRPr="00A92E60" w:rsidRDefault="002D3D42" w:rsidP="00842539">
            <w:pPr>
              <w:pStyle w:val="NLnormallist"/>
              <w:ind w:left="113" w:firstLine="0"/>
              <w:rPr>
                <w:rFonts w:ascii="Calibri" w:hAnsi="Calibri" w:cs="Calibri"/>
                <w:b/>
              </w:rPr>
            </w:pPr>
          </w:p>
          <w:p w:rsidR="002D3D42" w:rsidRPr="00DF501D" w:rsidRDefault="002D3D42">
            <w:pPr>
              <w:rPr>
                <w:b/>
                <w:sz w:val="18"/>
                <w:szCs w:val="18"/>
              </w:rPr>
            </w:pPr>
          </w:p>
          <w:p w:rsidR="002D3D42" w:rsidRDefault="002D3D42" w:rsidP="009A0C2E">
            <w:pPr>
              <w:ind w:left="473"/>
            </w:pPr>
          </w:p>
        </w:tc>
      </w:tr>
    </w:tbl>
    <w:p w:rsidR="00DF501D" w:rsidRDefault="00DF501D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E2" w:rsidRDefault="007D62E2" w:rsidP="001F4D25">
      <w:r>
        <w:separator/>
      </w:r>
    </w:p>
  </w:endnote>
  <w:endnote w:type="continuationSeparator" w:id="0">
    <w:p w:rsidR="007D62E2" w:rsidRDefault="007D62E2" w:rsidP="001F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E2" w:rsidRDefault="007D62E2" w:rsidP="001F4D25">
      <w:r>
        <w:separator/>
      </w:r>
    </w:p>
  </w:footnote>
  <w:footnote w:type="continuationSeparator" w:id="0">
    <w:p w:rsidR="007D62E2" w:rsidRDefault="007D62E2" w:rsidP="001F4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5" w:rsidRDefault="00A000F7">
    <w:pPr>
      <w:pStyle w:val="Header"/>
    </w:pPr>
    <w:r>
      <w:rPr>
        <w:rFonts w:cs="Arial"/>
      </w:rPr>
      <w:t>©</w:t>
    </w:r>
    <w:r>
      <w:t xml:space="preserve"> </w:t>
    </w:r>
    <w:r w:rsidR="001F4D25">
      <w:t xml:space="preserve">August 2015 Hart and </w:t>
    </w:r>
    <w:proofErr w:type="spellStart"/>
    <w:r w:rsidR="001F4D25">
      <w:t>Rushmoor</w:t>
    </w:r>
    <w:proofErr w:type="spellEnd"/>
    <w:r w:rsidR="001F4D25">
      <w:t xml:space="preserve"> planning / assessment</w:t>
    </w:r>
  </w:p>
  <w:p w:rsidR="001F4D25" w:rsidRDefault="001F4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69C"/>
    <w:multiLevelType w:val="hybridMultilevel"/>
    <w:tmpl w:val="A9A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CE7"/>
    <w:multiLevelType w:val="hybridMultilevel"/>
    <w:tmpl w:val="F6F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4F5"/>
    <w:multiLevelType w:val="hybridMultilevel"/>
    <w:tmpl w:val="DB16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3656"/>
    <w:multiLevelType w:val="hybridMultilevel"/>
    <w:tmpl w:val="A05C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7293"/>
    <w:multiLevelType w:val="hybridMultilevel"/>
    <w:tmpl w:val="0716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5365"/>
    <w:multiLevelType w:val="hybridMultilevel"/>
    <w:tmpl w:val="3ED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3EB5"/>
    <w:multiLevelType w:val="hybridMultilevel"/>
    <w:tmpl w:val="55AE6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5BC13C16"/>
    <w:multiLevelType w:val="hybridMultilevel"/>
    <w:tmpl w:val="AC16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61E679FC"/>
    <w:multiLevelType w:val="hybridMultilevel"/>
    <w:tmpl w:val="028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164DD"/>
    <w:multiLevelType w:val="hybridMultilevel"/>
    <w:tmpl w:val="93A0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E539E"/>
    <w:rsid w:val="001F4D25"/>
    <w:rsid w:val="002A3D76"/>
    <w:rsid w:val="002D3D42"/>
    <w:rsid w:val="004369D1"/>
    <w:rsid w:val="00596322"/>
    <w:rsid w:val="00712AC1"/>
    <w:rsid w:val="007D62E2"/>
    <w:rsid w:val="00831E50"/>
    <w:rsid w:val="0083560C"/>
    <w:rsid w:val="00842539"/>
    <w:rsid w:val="00884AF3"/>
    <w:rsid w:val="009A0C2E"/>
    <w:rsid w:val="00A000F7"/>
    <w:rsid w:val="00B10089"/>
    <w:rsid w:val="00B21865"/>
    <w:rsid w:val="00BC20BB"/>
    <w:rsid w:val="00C61B77"/>
    <w:rsid w:val="00C7386A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4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25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25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4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25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25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17</cp:revision>
  <cp:lastPrinted>2015-03-22T23:42:00Z</cp:lastPrinted>
  <dcterms:created xsi:type="dcterms:W3CDTF">2015-03-22T17:41:00Z</dcterms:created>
  <dcterms:modified xsi:type="dcterms:W3CDTF">2015-08-10T21:38:00Z</dcterms:modified>
</cp:coreProperties>
</file>