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495"/>
        <w:gridCol w:w="2126"/>
        <w:gridCol w:w="2410"/>
        <w:gridCol w:w="5583"/>
      </w:tblGrid>
      <w:tr w:rsidR="00DF501D" w:rsidTr="002A3254">
        <w:tc>
          <w:tcPr>
            <w:tcW w:w="15614" w:type="dxa"/>
            <w:gridSpan w:val="4"/>
            <w:shd w:val="clear" w:color="auto" w:fill="F79646" w:themeFill="accent6"/>
          </w:tcPr>
          <w:p w:rsidR="00DF501D" w:rsidRDefault="00DF501D" w:rsidP="00DF501D">
            <w:pPr>
              <w:jc w:val="center"/>
              <w:rPr>
                <w:rFonts w:cs="Arial"/>
                <w:b/>
                <w:sz w:val="28"/>
                <w:szCs w:val="28"/>
                <w:lang w:val="en-GB"/>
              </w:rPr>
            </w:pPr>
            <w:bookmarkStart w:id="0" w:name="_GoBack"/>
            <w:bookmarkEnd w:id="0"/>
          </w:p>
          <w:p w:rsidR="00DF501D" w:rsidRPr="00887021" w:rsidRDefault="00DF501D" w:rsidP="00DF501D">
            <w:pPr>
              <w:jc w:val="center"/>
              <w:rPr>
                <w:rFonts w:asciiTheme="minorHAnsi" w:hAnsiTheme="minorHAnsi" w:cstheme="minorHAnsi"/>
                <w:sz w:val="40"/>
                <w:szCs w:val="40"/>
                <w:lang w:val="en-GB"/>
              </w:rPr>
            </w:pPr>
            <w:r w:rsidRPr="00887021">
              <w:rPr>
                <w:rFonts w:asciiTheme="minorHAnsi" w:hAnsiTheme="minorHAnsi" w:cstheme="minorHAnsi"/>
                <w:b/>
                <w:sz w:val="40"/>
                <w:szCs w:val="40"/>
                <w:lang w:val="en-GB"/>
              </w:rPr>
              <w:t xml:space="preserve">Year </w:t>
            </w:r>
            <w:r w:rsidR="002A3254">
              <w:rPr>
                <w:rFonts w:asciiTheme="minorHAnsi" w:hAnsiTheme="minorHAnsi" w:cstheme="minorHAnsi"/>
                <w:b/>
                <w:sz w:val="40"/>
                <w:szCs w:val="40"/>
                <w:lang w:val="en-GB"/>
              </w:rPr>
              <w:t>2</w:t>
            </w:r>
            <w:r w:rsidRPr="00887021">
              <w:rPr>
                <w:rFonts w:asciiTheme="minorHAnsi" w:hAnsiTheme="minorHAnsi" w:cstheme="minorHAnsi"/>
                <w:b/>
                <w:sz w:val="40"/>
                <w:szCs w:val="40"/>
                <w:lang w:val="en-GB"/>
              </w:rPr>
              <w:t xml:space="preserve">  - Building and assessing the conceptual understanding and learning – </w:t>
            </w:r>
            <w:r w:rsidR="008F7BD0" w:rsidRPr="00887021">
              <w:rPr>
                <w:rFonts w:asciiTheme="minorHAnsi" w:hAnsiTheme="minorHAnsi" w:cstheme="minorHAnsi"/>
                <w:b/>
                <w:sz w:val="40"/>
                <w:szCs w:val="40"/>
                <w:lang w:val="en-GB"/>
              </w:rPr>
              <w:t>Fractions</w:t>
            </w:r>
          </w:p>
          <w:p w:rsidR="00DF501D" w:rsidRDefault="00DF501D"/>
        </w:tc>
      </w:tr>
      <w:tr w:rsidR="008B21B6" w:rsidTr="00FF70AE">
        <w:tc>
          <w:tcPr>
            <w:tcW w:w="7621" w:type="dxa"/>
            <w:gridSpan w:val="2"/>
          </w:tcPr>
          <w:p w:rsidR="008B21B6" w:rsidRDefault="008B21B6" w:rsidP="00DF501D">
            <w:pPr>
              <w:pStyle w:val="NLnormallist"/>
              <w:spacing w:line="240" w:lineRule="auto"/>
              <w:ind w:left="113" w:firstLine="0"/>
              <w:rPr>
                <w:rFonts w:asciiTheme="minorHAnsi" w:hAnsiTheme="minorHAnsi" w:cstheme="minorHAnsi"/>
                <w:b/>
                <w:sz w:val="24"/>
                <w:szCs w:val="24"/>
              </w:rPr>
            </w:pPr>
            <w:r w:rsidRPr="00887021">
              <w:rPr>
                <w:rFonts w:asciiTheme="minorHAnsi" w:hAnsiTheme="minorHAnsi" w:cstheme="minorHAnsi"/>
                <w:b/>
                <w:sz w:val="24"/>
                <w:szCs w:val="24"/>
              </w:rPr>
              <w:t>End of Year Expectations:</w:t>
            </w:r>
          </w:p>
          <w:p w:rsidR="008B21B6" w:rsidRPr="00EC048D" w:rsidRDefault="008B21B6" w:rsidP="008B21B6">
            <w:pPr>
              <w:pStyle w:val="Default"/>
              <w:rPr>
                <w:sz w:val="22"/>
                <w:szCs w:val="22"/>
              </w:rPr>
            </w:pPr>
            <w:r w:rsidRPr="00EC048D">
              <w:rPr>
                <w:sz w:val="22"/>
                <w:szCs w:val="22"/>
              </w:rPr>
              <w:t xml:space="preserve">Pupils should be taught to: </w:t>
            </w:r>
          </w:p>
          <w:p w:rsidR="00C866C4" w:rsidRDefault="008B21B6" w:rsidP="008B21B6">
            <w:pPr>
              <w:pStyle w:val="Default"/>
              <w:rPr>
                <w:sz w:val="22"/>
                <w:szCs w:val="22"/>
              </w:rPr>
            </w:pPr>
            <w:r w:rsidRPr="00EC048D">
              <w:rPr>
                <w:rFonts w:ascii="Wingdings" w:hAnsi="Wingdings" w:cs="Wingdings"/>
                <w:sz w:val="22"/>
                <w:szCs w:val="22"/>
              </w:rPr>
              <w:t></w:t>
            </w:r>
            <w:r w:rsidRPr="00EC048D">
              <w:rPr>
                <w:rFonts w:ascii="Wingdings" w:hAnsi="Wingdings" w:cs="Wingdings"/>
                <w:sz w:val="22"/>
                <w:szCs w:val="22"/>
              </w:rPr>
              <w:t></w:t>
            </w:r>
            <w:r w:rsidRPr="00EC048D">
              <w:rPr>
                <w:sz w:val="22"/>
                <w:szCs w:val="22"/>
              </w:rPr>
              <w:t xml:space="preserve">recognise, find, name and write fractions </w:t>
            </w:r>
            <w:r w:rsidRPr="00EC048D">
              <w:rPr>
                <w:position w:val="8"/>
                <w:sz w:val="22"/>
                <w:szCs w:val="22"/>
                <w:vertAlign w:val="superscript"/>
              </w:rPr>
              <w:t>1</w:t>
            </w:r>
            <w:r w:rsidRPr="00EC048D">
              <w:rPr>
                <w:sz w:val="22"/>
                <w:szCs w:val="22"/>
              </w:rPr>
              <w:t>/</w:t>
            </w:r>
            <w:r w:rsidRPr="00EC048D">
              <w:rPr>
                <w:position w:val="-8"/>
                <w:sz w:val="22"/>
                <w:szCs w:val="22"/>
                <w:vertAlign w:val="subscript"/>
              </w:rPr>
              <w:t>3</w:t>
            </w:r>
            <w:r w:rsidRPr="00EC048D">
              <w:rPr>
                <w:sz w:val="22"/>
                <w:szCs w:val="22"/>
              </w:rPr>
              <w:t xml:space="preserve">, </w:t>
            </w:r>
            <w:r w:rsidRPr="00EC048D">
              <w:rPr>
                <w:position w:val="8"/>
                <w:sz w:val="22"/>
                <w:szCs w:val="22"/>
                <w:vertAlign w:val="superscript"/>
              </w:rPr>
              <w:t>1</w:t>
            </w:r>
            <w:r w:rsidRPr="00EC048D">
              <w:rPr>
                <w:sz w:val="22"/>
                <w:szCs w:val="22"/>
              </w:rPr>
              <w:t>/</w:t>
            </w:r>
            <w:r w:rsidRPr="00EC048D">
              <w:rPr>
                <w:position w:val="-8"/>
                <w:sz w:val="22"/>
                <w:szCs w:val="22"/>
                <w:vertAlign w:val="subscript"/>
              </w:rPr>
              <w:t>4</w:t>
            </w:r>
            <w:r w:rsidRPr="00EC048D">
              <w:rPr>
                <w:sz w:val="22"/>
                <w:szCs w:val="22"/>
              </w:rPr>
              <w:t xml:space="preserve">, </w:t>
            </w:r>
            <w:r w:rsidRPr="00EC048D">
              <w:rPr>
                <w:position w:val="8"/>
                <w:sz w:val="22"/>
                <w:szCs w:val="22"/>
                <w:vertAlign w:val="superscript"/>
              </w:rPr>
              <w:t>2</w:t>
            </w:r>
            <w:r w:rsidRPr="00EC048D">
              <w:rPr>
                <w:sz w:val="22"/>
                <w:szCs w:val="22"/>
              </w:rPr>
              <w:t>/</w:t>
            </w:r>
            <w:r w:rsidRPr="00EC048D">
              <w:rPr>
                <w:position w:val="-8"/>
                <w:sz w:val="22"/>
                <w:szCs w:val="22"/>
                <w:vertAlign w:val="subscript"/>
              </w:rPr>
              <w:t xml:space="preserve">4 </w:t>
            </w:r>
            <w:r w:rsidRPr="00EC048D">
              <w:rPr>
                <w:sz w:val="22"/>
                <w:szCs w:val="22"/>
              </w:rPr>
              <w:t xml:space="preserve">and </w:t>
            </w:r>
            <w:r w:rsidRPr="00EC048D">
              <w:rPr>
                <w:position w:val="8"/>
                <w:sz w:val="22"/>
                <w:szCs w:val="22"/>
                <w:vertAlign w:val="superscript"/>
              </w:rPr>
              <w:t>3</w:t>
            </w:r>
            <w:r w:rsidRPr="00EC048D">
              <w:rPr>
                <w:sz w:val="22"/>
                <w:szCs w:val="22"/>
              </w:rPr>
              <w:t>/</w:t>
            </w:r>
            <w:r w:rsidRPr="00EC048D">
              <w:rPr>
                <w:position w:val="-8"/>
                <w:sz w:val="22"/>
                <w:szCs w:val="22"/>
                <w:vertAlign w:val="subscript"/>
              </w:rPr>
              <w:t xml:space="preserve">4 </w:t>
            </w:r>
            <w:r w:rsidRPr="00EC048D">
              <w:rPr>
                <w:sz w:val="22"/>
                <w:szCs w:val="22"/>
              </w:rPr>
              <w:t>of a length,</w:t>
            </w:r>
          </w:p>
          <w:p w:rsidR="008B21B6" w:rsidRPr="00EC048D" w:rsidRDefault="00C866C4" w:rsidP="008B21B6">
            <w:pPr>
              <w:pStyle w:val="Default"/>
              <w:rPr>
                <w:sz w:val="22"/>
                <w:szCs w:val="22"/>
              </w:rPr>
            </w:pPr>
            <w:r>
              <w:rPr>
                <w:sz w:val="22"/>
                <w:szCs w:val="22"/>
              </w:rPr>
              <w:t xml:space="preserve">   </w:t>
            </w:r>
            <w:r w:rsidR="008B21B6" w:rsidRPr="00EC048D">
              <w:rPr>
                <w:sz w:val="22"/>
                <w:szCs w:val="22"/>
              </w:rPr>
              <w:t xml:space="preserve"> shape, set of objects or quantity </w:t>
            </w:r>
          </w:p>
          <w:p w:rsidR="00C866C4" w:rsidRDefault="008B21B6" w:rsidP="008B21B6">
            <w:pPr>
              <w:pStyle w:val="Default"/>
              <w:rPr>
                <w:sz w:val="22"/>
                <w:szCs w:val="22"/>
              </w:rPr>
            </w:pPr>
            <w:r w:rsidRPr="00EC048D">
              <w:rPr>
                <w:rFonts w:ascii="Wingdings" w:hAnsi="Wingdings" w:cs="Wingdings"/>
                <w:sz w:val="22"/>
                <w:szCs w:val="22"/>
              </w:rPr>
              <w:t></w:t>
            </w:r>
            <w:r w:rsidRPr="00EC048D">
              <w:rPr>
                <w:rFonts w:ascii="Wingdings" w:hAnsi="Wingdings" w:cs="Wingdings"/>
                <w:sz w:val="22"/>
                <w:szCs w:val="22"/>
              </w:rPr>
              <w:t></w:t>
            </w:r>
            <w:r w:rsidRPr="00EC048D">
              <w:rPr>
                <w:sz w:val="22"/>
                <w:szCs w:val="22"/>
              </w:rPr>
              <w:t xml:space="preserve">write simple fractions e.g. </w:t>
            </w:r>
            <w:r w:rsidRPr="00EC048D">
              <w:rPr>
                <w:position w:val="8"/>
                <w:sz w:val="22"/>
                <w:szCs w:val="22"/>
                <w:vertAlign w:val="superscript"/>
              </w:rPr>
              <w:t>1</w:t>
            </w:r>
            <w:r w:rsidRPr="00EC048D">
              <w:rPr>
                <w:sz w:val="22"/>
                <w:szCs w:val="22"/>
              </w:rPr>
              <w:t>/</w:t>
            </w:r>
            <w:r w:rsidRPr="00EC048D">
              <w:rPr>
                <w:position w:val="-8"/>
                <w:sz w:val="22"/>
                <w:szCs w:val="22"/>
                <w:vertAlign w:val="subscript"/>
              </w:rPr>
              <w:t xml:space="preserve">2 </w:t>
            </w:r>
            <w:r w:rsidRPr="00EC048D">
              <w:rPr>
                <w:sz w:val="22"/>
                <w:szCs w:val="22"/>
              </w:rPr>
              <w:t xml:space="preserve">of 6 = 3 and recognise the equivalence of </w:t>
            </w:r>
          </w:p>
          <w:p w:rsidR="008B21B6" w:rsidRDefault="00C866C4" w:rsidP="008B21B6">
            <w:pPr>
              <w:pStyle w:val="Default"/>
              <w:rPr>
                <w:sz w:val="22"/>
                <w:szCs w:val="22"/>
              </w:rPr>
            </w:pPr>
            <w:r>
              <w:rPr>
                <w:sz w:val="22"/>
                <w:szCs w:val="22"/>
              </w:rPr>
              <w:t xml:space="preserve">    </w:t>
            </w:r>
            <w:r w:rsidR="008B21B6" w:rsidRPr="00EC048D">
              <w:rPr>
                <w:position w:val="8"/>
                <w:sz w:val="22"/>
                <w:szCs w:val="22"/>
                <w:vertAlign w:val="superscript"/>
              </w:rPr>
              <w:t>2</w:t>
            </w:r>
            <w:r w:rsidR="008B21B6" w:rsidRPr="00EC048D">
              <w:rPr>
                <w:sz w:val="22"/>
                <w:szCs w:val="22"/>
              </w:rPr>
              <w:t>/</w:t>
            </w:r>
            <w:r w:rsidR="008B21B6" w:rsidRPr="00EC048D">
              <w:rPr>
                <w:position w:val="-8"/>
                <w:sz w:val="22"/>
                <w:szCs w:val="22"/>
                <w:vertAlign w:val="subscript"/>
              </w:rPr>
              <w:t xml:space="preserve">4 </w:t>
            </w:r>
            <w:r w:rsidR="008B21B6" w:rsidRPr="00EC048D">
              <w:rPr>
                <w:sz w:val="22"/>
                <w:szCs w:val="22"/>
              </w:rPr>
              <w:t xml:space="preserve">and </w:t>
            </w:r>
            <w:r w:rsidR="008B21B6" w:rsidRPr="00EC048D">
              <w:rPr>
                <w:position w:val="8"/>
                <w:sz w:val="22"/>
                <w:szCs w:val="22"/>
                <w:vertAlign w:val="superscript"/>
              </w:rPr>
              <w:t>1</w:t>
            </w:r>
            <w:r w:rsidR="008B21B6" w:rsidRPr="00EC048D">
              <w:rPr>
                <w:sz w:val="22"/>
                <w:szCs w:val="22"/>
              </w:rPr>
              <w:t>/</w:t>
            </w:r>
            <w:r w:rsidR="008B21B6" w:rsidRPr="00EC048D">
              <w:rPr>
                <w:position w:val="-8"/>
                <w:sz w:val="22"/>
                <w:szCs w:val="22"/>
                <w:vertAlign w:val="subscript"/>
              </w:rPr>
              <w:t>2</w:t>
            </w:r>
            <w:r w:rsidR="008B21B6" w:rsidRPr="00EC048D">
              <w:rPr>
                <w:sz w:val="22"/>
                <w:szCs w:val="22"/>
              </w:rPr>
              <w:t xml:space="preserve">. </w:t>
            </w:r>
          </w:p>
          <w:p w:rsidR="00FC1858" w:rsidRPr="00EC048D" w:rsidRDefault="00FC1858" w:rsidP="008B21B6">
            <w:pPr>
              <w:pStyle w:val="Default"/>
              <w:rPr>
                <w:sz w:val="22"/>
                <w:szCs w:val="22"/>
              </w:rPr>
            </w:pPr>
          </w:p>
          <w:p w:rsidR="008B21B6" w:rsidRPr="00887021" w:rsidRDefault="00FC1858" w:rsidP="00DF501D">
            <w:pPr>
              <w:pStyle w:val="NLnormallist"/>
              <w:spacing w:line="240" w:lineRule="auto"/>
              <w:ind w:left="113" w:firstLine="0"/>
              <w:rPr>
                <w:rFonts w:asciiTheme="minorHAnsi" w:hAnsiTheme="minorHAnsi" w:cstheme="minorHAnsi"/>
                <w:b/>
                <w:sz w:val="24"/>
                <w:szCs w:val="24"/>
              </w:rPr>
            </w:pPr>
            <w:r w:rsidRPr="00FC1858">
              <w:rPr>
                <w:noProof/>
                <w:sz w:val="22"/>
                <w:szCs w:val="22"/>
                <w:lang w:eastAsia="en-GB"/>
              </w:rPr>
              <mc:AlternateContent>
                <mc:Choice Requires="wps">
                  <w:drawing>
                    <wp:anchor distT="0" distB="0" distL="114300" distR="114300" simplePos="0" relativeHeight="251659264" behindDoc="0" locked="0" layoutInCell="1" allowOverlap="1" wp14:anchorId="4539F21E" wp14:editId="5B0A5312">
                      <wp:simplePos x="0" y="0"/>
                      <wp:positionH relativeFrom="column">
                        <wp:posOffset>480060</wp:posOffset>
                      </wp:positionH>
                      <wp:positionV relativeFrom="paragraph">
                        <wp:posOffset>67945</wp:posOffset>
                      </wp:positionV>
                      <wp:extent cx="4089400" cy="1403985"/>
                      <wp:effectExtent l="0" t="0" r="2540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3985"/>
                              </a:xfrm>
                              <a:prstGeom prst="rect">
                                <a:avLst/>
                              </a:prstGeom>
                              <a:solidFill>
                                <a:schemeClr val="accent6"/>
                              </a:solidFill>
                              <a:ln w="9525">
                                <a:solidFill>
                                  <a:srgbClr val="000000"/>
                                </a:solidFill>
                                <a:miter lim="800000"/>
                                <a:headEnd/>
                                <a:tailEnd/>
                              </a:ln>
                            </wps:spPr>
                            <wps:txbx>
                              <w:txbxContent>
                                <w:p w:rsidR="00FC1858" w:rsidRPr="00B02AED" w:rsidRDefault="00FC1858" w:rsidP="00FC1858">
                                  <w:pPr>
                                    <w:rPr>
                                      <w:sz w:val="22"/>
                                      <w:szCs w:val="22"/>
                                    </w:rPr>
                                  </w:pPr>
                                  <w:r w:rsidRPr="00B02AED">
                                    <w:rPr>
                                      <w:rFonts w:ascii="Calibri" w:hAnsi="Calibri" w:cs="Calibri"/>
                                      <w:b/>
                                      <w:sz w:val="22"/>
                                      <w:szCs w:val="22"/>
                                    </w:rPr>
                                    <w:t>See NCETM “Teaching for Mastery” Year 2 book – fractions.</w:t>
                                  </w:r>
                                </w:p>
                                <w:p w:rsidR="00FC1858" w:rsidRDefault="00FC1858">
                                  <w:r w:rsidRPr="00B02AED">
                                    <w:t>https://www.ncetm.org.uk/public/files/23305579/Mastery_Assessment_Y2_Low_Res.pdf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5.35pt;width:3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" fillcolor="#f79646 [3209]">
                      <v:textbox style="mso-fit-shape-to-text:t">
                        <w:txbxContent>
                          <w:p w:rsidR="00FC1858" w:rsidRPr="00B02AED" w:rsidRDefault="00FC1858" w:rsidP="00FC1858">
                            <w:pPr>
                              <w:rPr>
                                <w:sz w:val="22"/>
                                <w:szCs w:val="22"/>
                              </w:rPr>
                            </w:pPr>
                            <w:bookmarkStart w:id="1" w:name="_GoBack"/>
                            <w:r w:rsidRPr="00B02AED">
                              <w:rPr>
                                <w:rFonts w:ascii="Calibri" w:hAnsi="Calibri" w:cs="Calibri"/>
                                <w:b/>
                                <w:sz w:val="22"/>
                                <w:szCs w:val="22"/>
                              </w:rPr>
                              <w:t>See NCETM “Teaching for Mastery” Year 2 book – fractions.</w:t>
                            </w:r>
                          </w:p>
                          <w:p w:rsidR="00FC1858" w:rsidRDefault="00FC1858">
                            <w:r w:rsidRPr="00B02AED">
                              <w:t>https://www.ncetm.org.uk/public/files/23305579/Mastery_Assessment_Y2_Low_Res.pdf</w:t>
                            </w:r>
                            <w:bookmarkEnd w:id="1"/>
                          </w:p>
                        </w:txbxContent>
                      </v:textbox>
                    </v:shape>
                  </w:pict>
                </mc:Fallback>
              </mc:AlternateContent>
            </w:r>
          </w:p>
          <w:p w:rsidR="008B21B6" w:rsidRDefault="008B21B6" w:rsidP="008B21B6">
            <w:pPr>
              <w:pStyle w:val="NLnormallist"/>
              <w:tabs>
                <w:tab w:val="left" w:pos="1604"/>
              </w:tabs>
              <w:spacing w:line="240" w:lineRule="auto"/>
              <w:ind w:left="0" w:firstLine="0"/>
              <w:rPr>
                <w:sz w:val="23"/>
                <w:szCs w:val="23"/>
              </w:rPr>
            </w:pPr>
          </w:p>
        </w:tc>
        <w:tc>
          <w:tcPr>
            <w:tcW w:w="7993" w:type="dxa"/>
            <w:gridSpan w:val="2"/>
          </w:tcPr>
          <w:p w:rsidR="008B21B6" w:rsidRDefault="008B21B6" w:rsidP="008B21B6">
            <w:pPr>
              <w:pStyle w:val="NLnormallist"/>
              <w:tabs>
                <w:tab w:val="left" w:pos="1604"/>
              </w:tabs>
              <w:spacing w:line="240" w:lineRule="auto"/>
              <w:ind w:left="0" w:firstLine="0"/>
              <w:rPr>
                <w:rFonts w:asciiTheme="minorHAnsi" w:hAnsiTheme="minorHAnsi" w:cstheme="minorHAnsi"/>
                <w:b/>
                <w:sz w:val="24"/>
                <w:szCs w:val="24"/>
              </w:rPr>
            </w:pPr>
            <w:r w:rsidRPr="00887021">
              <w:rPr>
                <w:rFonts w:asciiTheme="minorHAnsi" w:hAnsiTheme="minorHAnsi" w:cstheme="minorHAnsi"/>
                <w:b/>
                <w:sz w:val="24"/>
                <w:szCs w:val="24"/>
              </w:rPr>
              <w:t>Non-statutory guidance:</w:t>
            </w:r>
          </w:p>
          <w:p w:rsidR="008B21B6" w:rsidRDefault="008B21B6" w:rsidP="008B21B6">
            <w:pPr>
              <w:pStyle w:val="Default"/>
              <w:rPr>
                <w:sz w:val="23"/>
                <w:szCs w:val="23"/>
              </w:rPr>
            </w:pPr>
            <w:r>
              <w:rPr>
                <w:sz w:val="23"/>
                <w:szCs w:val="23"/>
              </w:rPr>
              <w:t xml:space="preserve">Pupils use additional fractions as ‘fractions of’ discrete and continuous quantities by solving problems using shapes, objects and quantities. They connect unit fractions to equal sharing and grouping, to numbers when they can be calculated, and to measures, finding fractions of lengths, quantity, </w:t>
            </w:r>
            <w:proofErr w:type="gramStart"/>
            <w:r>
              <w:rPr>
                <w:sz w:val="23"/>
                <w:szCs w:val="23"/>
              </w:rPr>
              <w:t>a</w:t>
            </w:r>
            <w:proofErr w:type="gramEnd"/>
            <w:r>
              <w:rPr>
                <w:sz w:val="23"/>
                <w:szCs w:val="23"/>
              </w:rPr>
              <w:t xml:space="preserve"> set of objects or shapes. They meet </w:t>
            </w:r>
            <w:r>
              <w:rPr>
                <w:position w:val="8"/>
                <w:sz w:val="16"/>
                <w:szCs w:val="16"/>
                <w:vertAlign w:val="superscript"/>
              </w:rPr>
              <w:t>3</w:t>
            </w:r>
            <w:r>
              <w:rPr>
                <w:sz w:val="23"/>
                <w:szCs w:val="23"/>
              </w:rPr>
              <w:t>/</w:t>
            </w:r>
            <w:r>
              <w:rPr>
                <w:position w:val="-8"/>
                <w:sz w:val="16"/>
                <w:szCs w:val="16"/>
                <w:vertAlign w:val="subscript"/>
              </w:rPr>
              <w:t xml:space="preserve">4 </w:t>
            </w:r>
            <w:r>
              <w:rPr>
                <w:sz w:val="23"/>
                <w:szCs w:val="23"/>
              </w:rPr>
              <w:t>as the first example of a non-unit fraction.</w:t>
            </w:r>
          </w:p>
          <w:p w:rsidR="008B21B6" w:rsidRDefault="008B21B6" w:rsidP="008B21B6">
            <w:pPr>
              <w:pStyle w:val="Default"/>
              <w:rPr>
                <w:sz w:val="23"/>
                <w:szCs w:val="23"/>
              </w:rPr>
            </w:pPr>
            <w:r>
              <w:rPr>
                <w:sz w:val="23"/>
                <w:szCs w:val="23"/>
              </w:rPr>
              <w:t xml:space="preserve">Pupils should count in fractions up to 10, starting from any number and using the </w:t>
            </w:r>
            <w:r>
              <w:rPr>
                <w:position w:val="8"/>
                <w:sz w:val="16"/>
                <w:szCs w:val="16"/>
                <w:vertAlign w:val="superscript"/>
              </w:rPr>
              <w:t>1</w:t>
            </w:r>
            <w:r>
              <w:rPr>
                <w:sz w:val="23"/>
                <w:szCs w:val="23"/>
              </w:rPr>
              <w:t>/</w:t>
            </w:r>
            <w:r>
              <w:rPr>
                <w:position w:val="-8"/>
                <w:sz w:val="16"/>
                <w:szCs w:val="16"/>
                <w:vertAlign w:val="subscript"/>
              </w:rPr>
              <w:t xml:space="preserve">2 </w:t>
            </w:r>
            <w:r>
              <w:rPr>
                <w:sz w:val="23"/>
                <w:szCs w:val="23"/>
              </w:rPr>
              <w:t xml:space="preserve">and </w:t>
            </w:r>
            <w:r>
              <w:rPr>
                <w:position w:val="8"/>
                <w:sz w:val="16"/>
                <w:szCs w:val="16"/>
                <w:vertAlign w:val="superscript"/>
              </w:rPr>
              <w:t>2</w:t>
            </w:r>
            <w:r>
              <w:rPr>
                <w:sz w:val="23"/>
                <w:szCs w:val="23"/>
              </w:rPr>
              <w:t>/</w:t>
            </w:r>
            <w:r>
              <w:rPr>
                <w:position w:val="-8"/>
                <w:sz w:val="16"/>
                <w:szCs w:val="16"/>
                <w:vertAlign w:val="subscript"/>
              </w:rPr>
              <w:t xml:space="preserve">4 </w:t>
            </w:r>
            <w:r>
              <w:rPr>
                <w:sz w:val="23"/>
                <w:szCs w:val="23"/>
              </w:rPr>
              <w:t>equivalence on the number line (e.g. 1</w:t>
            </w:r>
            <w:r>
              <w:rPr>
                <w:position w:val="8"/>
                <w:sz w:val="16"/>
                <w:szCs w:val="16"/>
                <w:vertAlign w:val="superscript"/>
              </w:rPr>
              <w:t>1</w:t>
            </w:r>
            <w:r>
              <w:rPr>
                <w:sz w:val="23"/>
                <w:szCs w:val="23"/>
              </w:rPr>
              <w:t>/</w:t>
            </w:r>
            <w:r>
              <w:rPr>
                <w:position w:val="-8"/>
                <w:sz w:val="16"/>
                <w:szCs w:val="16"/>
                <w:vertAlign w:val="subscript"/>
              </w:rPr>
              <w:t>4</w:t>
            </w:r>
            <w:r>
              <w:rPr>
                <w:sz w:val="23"/>
                <w:szCs w:val="23"/>
              </w:rPr>
              <w:t>, 1</w:t>
            </w:r>
            <w:r>
              <w:rPr>
                <w:position w:val="8"/>
                <w:sz w:val="16"/>
                <w:szCs w:val="16"/>
                <w:vertAlign w:val="superscript"/>
              </w:rPr>
              <w:t>2</w:t>
            </w:r>
            <w:r>
              <w:rPr>
                <w:sz w:val="23"/>
                <w:szCs w:val="23"/>
              </w:rPr>
              <w:t>/</w:t>
            </w:r>
            <w:r>
              <w:rPr>
                <w:position w:val="-8"/>
                <w:sz w:val="16"/>
                <w:szCs w:val="16"/>
                <w:vertAlign w:val="subscript"/>
              </w:rPr>
              <w:t xml:space="preserve">4 </w:t>
            </w:r>
            <w:r>
              <w:rPr>
                <w:sz w:val="23"/>
                <w:szCs w:val="23"/>
              </w:rPr>
              <w:t>(or 1</w:t>
            </w:r>
            <w:r>
              <w:rPr>
                <w:position w:val="8"/>
                <w:sz w:val="16"/>
                <w:szCs w:val="16"/>
                <w:vertAlign w:val="superscript"/>
              </w:rPr>
              <w:t>1</w:t>
            </w:r>
            <w:r>
              <w:rPr>
                <w:sz w:val="23"/>
                <w:szCs w:val="23"/>
              </w:rPr>
              <w:t>/</w:t>
            </w:r>
            <w:r>
              <w:rPr>
                <w:position w:val="-8"/>
                <w:sz w:val="16"/>
                <w:szCs w:val="16"/>
                <w:vertAlign w:val="subscript"/>
              </w:rPr>
              <w:t>2</w:t>
            </w:r>
            <w:r>
              <w:rPr>
                <w:sz w:val="23"/>
                <w:szCs w:val="23"/>
              </w:rPr>
              <w:t>), 1</w:t>
            </w:r>
            <w:r>
              <w:rPr>
                <w:position w:val="8"/>
                <w:sz w:val="16"/>
                <w:szCs w:val="16"/>
                <w:vertAlign w:val="superscript"/>
              </w:rPr>
              <w:t>3</w:t>
            </w:r>
            <w:r>
              <w:rPr>
                <w:sz w:val="23"/>
                <w:szCs w:val="23"/>
              </w:rPr>
              <w:t>/</w:t>
            </w:r>
            <w:r>
              <w:rPr>
                <w:position w:val="-8"/>
                <w:sz w:val="16"/>
                <w:szCs w:val="16"/>
                <w:vertAlign w:val="subscript"/>
              </w:rPr>
              <w:t>4</w:t>
            </w:r>
            <w:r>
              <w:rPr>
                <w:sz w:val="23"/>
                <w:szCs w:val="23"/>
              </w:rPr>
              <w:t xml:space="preserve">, 2). This reinforces the concept of fractions as numbers and that they can add up to more than one. </w:t>
            </w:r>
          </w:p>
          <w:p w:rsidR="008B21B6" w:rsidRPr="00887021" w:rsidRDefault="008B21B6" w:rsidP="00DF501D">
            <w:pPr>
              <w:pStyle w:val="NLnormallist"/>
              <w:tabs>
                <w:tab w:val="left" w:pos="1604"/>
              </w:tabs>
              <w:spacing w:line="240" w:lineRule="auto"/>
              <w:ind w:left="0" w:firstLine="0"/>
              <w:rPr>
                <w:rFonts w:asciiTheme="minorHAnsi" w:hAnsiTheme="minorHAnsi" w:cstheme="minorHAnsi"/>
                <w:b/>
                <w:sz w:val="24"/>
                <w:szCs w:val="24"/>
              </w:rPr>
            </w:pPr>
          </w:p>
          <w:p w:rsidR="008B21B6" w:rsidRPr="00887021" w:rsidRDefault="008B21B6" w:rsidP="00887021">
            <w:pPr>
              <w:pStyle w:val="Default"/>
              <w:rPr>
                <w:rFonts w:asciiTheme="minorHAnsi" w:hAnsiTheme="minorHAnsi" w:cstheme="minorHAnsi"/>
              </w:rPr>
            </w:pPr>
          </w:p>
        </w:tc>
      </w:tr>
      <w:tr w:rsidR="00DF501D" w:rsidTr="008B21B6">
        <w:tc>
          <w:tcPr>
            <w:tcW w:w="5495" w:type="dxa"/>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t>Autumn</w:t>
            </w:r>
          </w:p>
        </w:tc>
        <w:tc>
          <w:tcPr>
            <w:tcW w:w="4536" w:type="dxa"/>
            <w:gridSpan w:val="2"/>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t>Spring</w:t>
            </w:r>
          </w:p>
        </w:tc>
        <w:tc>
          <w:tcPr>
            <w:tcW w:w="5583" w:type="dxa"/>
          </w:tcPr>
          <w:p w:rsidR="00DF501D" w:rsidRPr="00887021" w:rsidRDefault="00DF501D" w:rsidP="00DF501D">
            <w:pPr>
              <w:jc w:val="center"/>
              <w:rPr>
                <w:rFonts w:asciiTheme="minorHAnsi" w:hAnsiTheme="minorHAnsi" w:cstheme="minorHAnsi"/>
                <w:b/>
                <w:sz w:val="28"/>
                <w:szCs w:val="28"/>
              </w:rPr>
            </w:pPr>
            <w:r w:rsidRPr="00887021">
              <w:rPr>
                <w:rFonts w:asciiTheme="minorHAnsi" w:hAnsiTheme="minorHAnsi" w:cstheme="minorHAnsi"/>
                <w:b/>
                <w:sz w:val="28"/>
                <w:szCs w:val="28"/>
              </w:rPr>
              <w:t>Summer</w:t>
            </w:r>
          </w:p>
        </w:tc>
      </w:tr>
      <w:tr w:rsidR="008B21B6" w:rsidTr="008B21B6">
        <w:tc>
          <w:tcPr>
            <w:tcW w:w="5495" w:type="dxa"/>
          </w:tcPr>
          <w:p w:rsidR="008B21B6" w:rsidRPr="00C866C4" w:rsidRDefault="008B21B6" w:rsidP="008B21B6">
            <w:pPr>
              <w:pStyle w:val="Default"/>
              <w:numPr>
                <w:ilvl w:val="0"/>
                <w:numId w:val="18"/>
              </w:numPr>
              <w:rPr>
                <w:sz w:val="22"/>
                <w:szCs w:val="22"/>
              </w:rPr>
            </w:pPr>
            <w:r w:rsidRPr="00C866C4">
              <w:rPr>
                <w:sz w:val="22"/>
                <w:szCs w:val="22"/>
              </w:rPr>
              <w:t>Solve problems involving halves and quarters of shape and quantities</w:t>
            </w:r>
          </w:p>
          <w:p w:rsidR="008B21B6" w:rsidRPr="00C866C4" w:rsidRDefault="008B21B6" w:rsidP="008B21B6">
            <w:pPr>
              <w:pStyle w:val="Default"/>
              <w:numPr>
                <w:ilvl w:val="0"/>
                <w:numId w:val="18"/>
              </w:numPr>
              <w:rPr>
                <w:sz w:val="22"/>
                <w:szCs w:val="22"/>
              </w:rPr>
            </w:pPr>
            <w:r w:rsidRPr="00C866C4">
              <w:rPr>
                <w:sz w:val="22"/>
                <w:szCs w:val="22"/>
              </w:rPr>
              <w:t>Make links between unit fractions and equal sharing and grouping</w:t>
            </w:r>
          </w:p>
          <w:p w:rsidR="008B21B6" w:rsidRPr="00C866C4" w:rsidRDefault="008B21B6" w:rsidP="008B21B6">
            <w:pPr>
              <w:pStyle w:val="Default"/>
              <w:numPr>
                <w:ilvl w:val="0"/>
                <w:numId w:val="18"/>
              </w:numPr>
              <w:rPr>
                <w:sz w:val="22"/>
                <w:szCs w:val="22"/>
              </w:rPr>
            </w:pPr>
            <w:r w:rsidRPr="00C866C4">
              <w:rPr>
                <w:sz w:val="22"/>
                <w:szCs w:val="22"/>
              </w:rPr>
              <w:t>Link fractions understanding to measures</w:t>
            </w:r>
          </w:p>
          <w:p w:rsidR="008B21B6" w:rsidRPr="00C866C4" w:rsidRDefault="008B21B6" w:rsidP="008B21B6">
            <w:pPr>
              <w:pStyle w:val="Default"/>
              <w:numPr>
                <w:ilvl w:val="0"/>
                <w:numId w:val="18"/>
              </w:numPr>
              <w:rPr>
                <w:sz w:val="22"/>
                <w:szCs w:val="22"/>
              </w:rPr>
            </w:pPr>
            <w:r w:rsidRPr="00C866C4">
              <w:rPr>
                <w:sz w:val="22"/>
                <w:szCs w:val="22"/>
              </w:rPr>
              <w:t>Begin to place fractions (half, quarter) on a number line to reinforce the concept of as numbers – and that they can add up to more than one.</w:t>
            </w:r>
          </w:p>
          <w:p w:rsidR="008B21B6" w:rsidRPr="00C866C4" w:rsidRDefault="008B21B6" w:rsidP="008B21B6">
            <w:pPr>
              <w:pStyle w:val="Default"/>
              <w:numPr>
                <w:ilvl w:val="0"/>
                <w:numId w:val="18"/>
              </w:numPr>
              <w:rPr>
                <w:sz w:val="22"/>
                <w:szCs w:val="22"/>
              </w:rPr>
            </w:pPr>
            <w:r w:rsidRPr="00C866C4">
              <w:rPr>
                <w:sz w:val="22"/>
                <w:szCs w:val="22"/>
              </w:rPr>
              <w:t xml:space="preserve">Encourage children to use a range of visualisations and resources to support their understanding of fractions.  </w:t>
            </w:r>
          </w:p>
          <w:p w:rsidR="008B21B6" w:rsidRPr="00C866C4" w:rsidRDefault="008B21B6" w:rsidP="008B21B6">
            <w:pPr>
              <w:pStyle w:val="Default"/>
              <w:numPr>
                <w:ilvl w:val="0"/>
                <w:numId w:val="18"/>
              </w:numPr>
              <w:rPr>
                <w:sz w:val="22"/>
                <w:szCs w:val="22"/>
              </w:rPr>
            </w:pPr>
            <w:r w:rsidRPr="00C866C4">
              <w:rPr>
                <w:sz w:val="22"/>
                <w:szCs w:val="22"/>
              </w:rPr>
              <w:t>Continue to reinforce the concept that fractions of shapes</w:t>
            </w:r>
            <w:r w:rsidR="00FF70AE" w:rsidRPr="00C866C4">
              <w:rPr>
                <w:sz w:val="22"/>
                <w:szCs w:val="22"/>
              </w:rPr>
              <w:t xml:space="preserve"> and quantities</w:t>
            </w:r>
            <w:r w:rsidRPr="00C866C4">
              <w:rPr>
                <w:sz w:val="22"/>
                <w:szCs w:val="22"/>
              </w:rPr>
              <w:t xml:space="preserve"> must be equal in size, but might look different.</w:t>
            </w:r>
          </w:p>
          <w:p w:rsidR="008B21B6" w:rsidRPr="008B21B6" w:rsidRDefault="008B21B6" w:rsidP="008B21B6">
            <w:pPr>
              <w:pStyle w:val="Default"/>
              <w:ind w:left="360"/>
              <w:rPr>
                <w:sz w:val="20"/>
                <w:szCs w:val="20"/>
              </w:rPr>
            </w:pPr>
          </w:p>
          <w:p w:rsidR="008B21B6" w:rsidRDefault="008B21B6" w:rsidP="008B21B6">
            <w:pPr>
              <w:pStyle w:val="Default"/>
              <w:ind w:left="113"/>
            </w:pPr>
          </w:p>
        </w:tc>
        <w:tc>
          <w:tcPr>
            <w:tcW w:w="4536" w:type="dxa"/>
            <w:gridSpan w:val="2"/>
          </w:tcPr>
          <w:p w:rsidR="008B21B6" w:rsidRPr="00C866C4" w:rsidRDefault="008B21B6" w:rsidP="008B21B6">
            <w:pPr>
              <w:pStyle w:val="NLnormallist"/>
              <w:numPr>
                <w:ilvl w:val="0"/>
                <w:numId w:val="18"/>
              </w:numPr>
              <w:rPr>
                <w:rFonts w:cs="Arial"/>
                <w:sz w:val="22"/>
                <w:szCs w:val="22"/>
              </w:rPr>
            </w:pPr>
            <w:r w:rsidRPr="00C866C4">
              <w:rPr>
                <w:rFonts w:cs="Arial"/>
                <w:sz w:val="22"/>
                <w:szCs w:val="22"/>
              </w:rPr>
              <w:t>Introduce ¾ as the first non-unit fraction</w:t>
            </w:r>
          </w:p>
          <w:p w:rsidR="008B21B6" w:rsidRPr="00C866C4" w:rsidRDefault="008B21B6" w:rsidP="008B21B6">
            <w:pPr>
              <w:pStyle w:val="NLnormallist"/>
              <w:numPr>
                <w:ilvl w:val="0"/>
                <w:numId w:val="18"/>
              </w:numPr>
              <w:rPr>
                <w:rFonts w:cs="Arial"/>
                <w:sz w:val="22"/>
                <w:szCs w:val="22"/>
              </w:rPr>
            </w:pPr>
            <w:r w:rsidRPr="00C866C4">
              <w:rPr>
                <w:rFonts w:cs="Arial"/>
                <w:sz w:val="22"/>
                <w:szCs w:val="22"/>
              </w:rPr>
              <w:t>Solve problems involving fractions of shapes and quantities using practical resources and making links to division.</w:t>
            </w:r>
          </w:p>
          <w:p w:rsidR="008B21B6" w:rsidRPr="00C866C4" w:rsidRDefault="008B21B6" w:rsidP="008B21B6">
            <w:pPr>
              <w:pStyle w:val="NLnormallist"/>
              <w:numPr>
                <w:ilvl w:val="0"/>
                <w:numId w:val="18"/>
              </w:numPr>
              <w:rPr>
                <w:rFonts w:cs="Arial"/>
                <w:sz w:val="22"/>
                <w:szCs w:val="22"/>
              </w:rPr>
            </w:pPr>
            <w:r w:rsidRPr="00C866C4">
              <w:rPr>
                <w:rFonts w:cs="Arial"/>
                <w:sz w:val="22"/>
                <w:szCs w:val="22"/>
              </w:rPr>
              <w:t>Begin to explore the concept of equivalence – such as 2/4 is equivalent to ½.</w:t>
            </w:r>
          </w:p>
          <w:p w:rsidR="008B21B6" w:rsidRPr="00C866C4" w:rsidRDefault="008B21B6" w:rsidP="008B21B6">
            <w:pPr>
              <w:pStyle w:val="NLnormallist"/>
              <w:numPr>
                <w:ilvl w:val="0"/>
                <w:numId w:val="18"/>
              </w:numPr>
              <w:rPr>
                <w:rFonts w:cs="Arial"/>
                <w:sz w:val="22"/>
                <w:szCs w:val="22"/>
              </w:rPr>
            </w:pPr>
            <w:r w:rsidRPr="00C866C4">
              <w:rPr>
                <w:rFonts w:cs="Arial"/>
                <w:sz w:val="22"/>
                <w:szCs w:val="22"/>
              </w:rPr>
              <w:t xml:space="preserve">Continue to place known fractions on a number line </w:t>
            </w:r>
          </w:p>
          <w:p w:rsidR="008B21B6" w:rsidRPr="00C866C4" w:rsidRDefault="008B21B6" w:rsidP="008B21B6">
            <w:pPr>
              <w:pStyle w:val="NLnormallist"/>
              <w:numPr>
                <w:ilvl w:val="0"/>
                <w:numId w:val="18"/>
              </w:numPr>
              <w:rPr>
                <w:rFonts w:cs="Arial"/>
                <w:sz w:val="22"/>
                <w:szCs w:val="22"/>
              </w:rPr>
            </w:pPr>
            <w:r w:rsidRPr="00C866C4">
              <w:rPr>
                <w:rFonts w:cs="Arial"/>
                <w:sz w:val="22"/>
                <w:szCs w:val="22"/>
              </w:rPr>
              <w:t>Make connections to “time” (half past, quarter past etc.</w:t>
            </w:r>
          </w:p>
          <w:p w:rsidR="008B21B6" w:rsidRPr="00C866C4" w:rsidRDefault="008B21B6" w:rsidP="008B21B6">
            <w:pPr>
              <w:pStyle w:val="NLnormallist"/>
              <w:numPr>
                <w:ilvl w:val="0"/>
                <w:numId w:val="18"/>
              </w:numPr>
              <w:rPr>
                <w:rFonts w:cs="Arial"/>
                <w:sz w:val="22"/>
                <w:szCs w:val="22"/>
              </w:rPr>
            </w:pPr>
            <w:r w:rsidRPr="00C866C4">
              <w:rPr>
                <w:rFonts w:cs="Arial"/>
                <w:sz w:val="22"/>
                <w:szCs w:val="22"/>
              </w:rPr>
              <w:t>Make links between fractions and measures</w:t>
            </w:r>
          </w:p>
          <w:p w:rsidR="008B21B6" w:rsidRDefault="008B21B6" w:rsidP="008B21B6">
            <w:pPr>
              <w:pStyle w:val="Default"/>
              <w:ind w:left="113"/>
            </w:pPr>
          </w:p>
        </w:tc>
        <w:tc>
          <w:tcPr>
            <w:tcW w:w="5583" w:type="dxa"/>
          </w:tcPr>
          <w:p w:rsidR="008B21B6" w:rsidRDefault="008B21B6" w:rsidP="008B21B6">
            <w:pPr>
              <w:pStyle w:val="Default"/>
              <w:ind w:left="360"/>
              <w:rPr>
                <w:sz w:val="18"/>
                <w:szCs w:val="18"/>
                <w:lang w:val="en-US"/>
              </w:rPr>
            </w:pPr>
          </w:p>
          <w:p w:rsidR="008B21B6" w:rsidRPr="00C866C4" w:rsidRDefault="008B21B6" w:rsidP="008B21B6">
            <w:pPr>
              <w:pStyle w:val="Default"/>
              <w:numPr>
                <w:ilvl w:val="0"/>
                <w:numId w:val="18"/>
              </w:numPr>
              <w:rPr>
                <w:sz w:val="22"/>
                <w:szCs w:val="22"/>
                <w:lang w:val="en-US"/>
              </w:rPr>
            </w:pPr>
            <w:r w:rsidRPr="00C866C4">
              <w:rPr>
                <w:sz w:val="22"/>
                <w:szCs w:val="22"/>
                <w:lang w:val="en-US"/>
              </w:rPr>
              <w:t>Count to ten on a number line in steps of ¼ and ½.</w:t>
            </w:r>
          </w:p>
          <w:p w:rsidR="008B21B6" w:rsidRPr="00C866C4" w:rsidRDefault="008B21B6" w:rsidP="008B21B6">
            <w:pPr>
              <w:pStyle w:val="Default"/>
              <w:numPr>
                <w:ilvl w:val="0"/>
                <w:numId w:val="18"/>
              </w:numPr>
              <w:rPr>
                <w:sz w:val="22"/>
                <w:szCs w:val="22"/>
                <w:lang w:val="en-US"/>
              </w:rPr>
            </w:pPr>
            <w:r w:rsidRPr="00C866C4">
              <w:rPr>
                <w:sz w:val="22"/>
                <w:szCs w:val="22"/>
                <w:lang w:val="en-US"/>
              </w:rPr>
              <w:t xml:space="preserve">Solve problems involving known fractions, using practical resources and a range of representations  </w:t>
            </w:r>
          </w:p>
          <w:p w:rsidR="008B21B6" w:rsidRDefault="008B21B6" w:rsidP="008B21B6">
            <w:pPr>
              <w:pStyle w:val="Default"/>
            </w:pPr>
          </w:p>
        </w:tc>
      </w:tr>
    </w:tbl>
    <w:p w:rsidR="004369D1" w:rsidRDefault="004369D1"/>
    <w:tbl>
      <w:tblPr>
        <w:tblStyle w:val="TableGrid"/>
        <w:tblW w:w="0" w:type="auto"/>
        <w:tblLook w:val="04A0" w:firstRow="1" w:lastRow="0" w:firstColumn="1" w:lastColumn="0" w:noHBand="0" w:noVBand="1"/>
      </w:tblPr>
      <w:tblGrid>
        <w:gridCol w:w="5204"/>
        <w:gridCol w:w="5205"/>
        <w:gridCol w:w="5205"/>
      </w:tblGrid>
      <w:tr w:rsidR="00FF70AE" w:rsidTr="00F77135">
        <w:trPr>
          <w:trHeight w:val="2596"/>
        </w:trPr>
        <w:tc>
          <w:tcPr>
            <w:tcW w:w="5204" w:type="dxa"/>
          </w:tcPr>
          <w:p w:rsidR="00FF70AE" w:rsidRPr="00C866C4" w:rsidRDefault="00FF70AE" w:rsidP="00D034EA">
            <w:pPr>
              <w:pStyle w:val="Default"/>
              <w:rPr>
                <w:rFonts w:asciiTheme="minorHAnsi" w:hAnsiTheme="minorHAnsi" w:cstheme="minorHAnsi"/>
                <w:b/>
              </w:rPr>
            </w:pPr>
            <w:r w:rsidRPr="00C866C4">
              <w:rPr>
                <w:rFonts w:asciiTheme="minorHAnsi" w:hAnsiTheme="minorHAnsi" w:cstheme="minorHAnsi"/>
                <w:b/>
              </w:rPr>
              <w:t>Key questions:</w:t>
            </w:r>
          </w:p>
          <w:p w:rsidR="00FF70AE" w:rsidRPr="00C866C4" w:rsidRDefault="00FF70AE" w:rsidP="00FF70AE">
            <w:pPr>
              <w:pStyle w:val="Default"/>
              <w:numPr>
                <w:ilvl w:val="0"/>
                <w:numId w:val="19"/>
              </w:numPr>
              <w:rPr>
                <w:rFonts w:asciiTheme="minorHAnsi" w:hAnsiTheme="minorHAnsi" w:cstheme="minorHAnsi"/>
                <w:sz w:val="22"/>
                <w:szCs w:val="22"/>
              </w:rPr>
            </w:pPr>
            <w:r w:rsidRPr="00C866C4">
              <w:rPr>
                <w:rFonts w:asciiTheme="minorHAnsi" w:hAnsiTheme="minorHAnsi" w:cstheme="minorHAnsi"/>
                <w:sz w:val="22"/>
                <w:szCs w:val="22"/>
              </w:rPr>
              <w:t>Can I use my knowledge and understanding of halves and quarters to solve problems involving halves and quarters of shapes and quantities?</w:t>
            </w:r>
          </w:p>
          <w:p w:rsidR="00FF70AE" w:rsidRPr="00C866C4" w:rsidRDefault="00FF70AE" w:rsidP="00FF70AE">
            <w:pPr>
              <w:pStyle w:val="Default"/>
              <w:numPr>
                <w:ilvl w:val="0"/>
                <w:numId w:val="19"/>
              </w:numPr>
              <w:rPr>
                <w:rFonts w:asciiTheme="minorHAnsi" w:hAnsiTheme="minorHAnsi" w:cstheme="minorHAnsi"/>
                <w:sz w:val="22"/>
                <w:szCs w:val="22"/>
              </w:rPr>
            </w:pPr>
            <w:r w:rsidRPr="00C866C4">
              <w:rPr>
                <w:rFonts w:asciiTheme="minorHAnsi" w:hAnsiTheme="minorHAnsi" w:cstheme="minorHAnsi"/>
                <w:sz w:val="22"/>
                <w:szCs w:val="22"/>
              </w:rPr>
              <w:t>Can I recognise that division is linked to fractions?</w:t>
            </w:r>
          </w:p>
          <w:p w:rsidR="00FF70AE" w:rsidRPr="00C866C4" w:rsidRDefault="00FF70AE" w:rsidP="00FF70AE">
            <w:pPr>
              <w:pStyle w:val="Default"/>
              <w:numPr>
                <w:ilvl w:val="0"/>
                <w:numId w:val="19"/>
              </w:numPr>
              <w:rPr>
                <w:rFonts w:asciiTheme="minorHAnsi" w:hAnsiTheme="minorHAnsi" w:cstheme="minorHAnsi"/>
                <w:sz w:val="22"/>
                <w:szCs w:val="22"/>
              </w:rPr>
            </w:pPr>
            <w:r w:rsidRPr="00C866C4">
              <w:rPr>
                <w:rFonts w:asciiTheme="minorHAnsi" w:hAnsiTheme="minorHAnsi" w:cstheme="minorHAnsi"/>
                <w:sz w:val="22"/>
                <w:szCs w:val="22"/>
              </w:rPr>
              <w:t>Can I begin to place fractions that I know along a number line?</w:t>
            </w:r>
          </w:p>
          <w:p w:rsidR="00FF70AE" w:rsidRPr="00C866C4" w:rsidRDefault="00FF70AE" w:rsidP="00FF70AE">
            <w:pPr>
              <w:pStyle w:val="Default"/>
              <w:numPr>
                <w:ilvl w:val="0"/>
                <w:numId w:val="19"/>
              </w:numPr>
              <w:rPr>
                <w:rFonts w:asciiTheme="minorHAnsi" w:hAnsiTheme="minorHAnsi" w:cstheme="minorHAnsi"/>
                <w:sz w:val="22"/>
                <w:szCs w:val="22"/>
              </w:rPr>
            </w:pPr>
            <w:r w:rsidRPr="00C866C4">
              <w:rPr>
                <w:rFonts w:asciiTheme="minorHAnsi" w:hAnsiTheme="minorHAnsi" w:cstheme="minorHAnsi"/>
                <w:sz w:val="22"/>
                <w:szCs w:val="22"/>
              </w:rPr>
              <w:t xml:space="preserve">Can I show and explain that I understand that, whilst fractions of shapes and quantities must be equal in size, they might look different? </w:t>
            </w:r>
          </w:p>
          <w:p w:rsidR="00FF70AE" w:rsidRDefault="00FF70AE" w:rsidP="00C247D2">
            <w:pPr>
              <w:pStyle w:val="Default"/>
            </w:pPr>
          </w:p>
        </w:tc>
        <w:tc>
          <w:tcPr>
            <w:tcW w:w="5205" w:type="dxa"/>
          </w:tcPr>
          <w:p w:rsidR="00FF70AE" w:rsidRDefault="00FF70AE">
            <w:pPr>
              <w:rPr>
                <w:rFonts w:asciiTheme="minorHAnsi" w:hAnsiTheme="minorHAnsi" w:cstheme="minorHAnsi"/>
                <w:b/>
              </w:rPr>
            </w:pPr>
            <w:r w:rsidRPr="00C247D2">
              <w:rPr>
                <w:rFonts w:asciiTheme="minorHAnsi" w:hAnsiTheme="minorHAnsi" w:cstheme="minorHAnsi"/>
                <w:b/>
              </w:rPr>
              <w:t>Key questions:</w:t>
            </w:r>
          </w:p>
          <w:p w:rsidR="00C866C4" w:rsidRPr="00C866C4" w:rsidRDefault="00FF70AE" w:rsidP="00FF70AE">
            <w:pPr>
              <w:pStyle w:val="ListParagraph"/>
              <w:numPr>
                <w:ilvl w:val="0"/>
                <w:numId w:val="20"/>
              </w:numPr>
              <w:rPr>
                <w:rFonts w:asciiTheme="minorHAnsi" w:hAnsiTheme="minorHAnsi" w:cstheme="minorHAnsi"/>
                <w:sz w:val="22"/>
                <w:szCs w:val="22"/>
              </w:rPr>
            </w:pPr>
            <w:r w:rsidRPr="00C866C4">
              <w:rPr>
                <w:rFonts w:asciiTheme="minorHAnsi" w:hAnsiTheme="minorHAnsi" w:cstheme="minorHAnsi"/>
                <w:sz w:val="22"/>
                <w:szCs w:val="22"/>
              </w:rPr>
              <w:t>Can I demonstrate my understanding of ¾ as a non-unit fraction – finding ¾ of shapes and quantities?</w:t>
            </w:r>
          </w:p>
          <w:p w:rsidR="00C866C4" w:rsidRPr="00C866C4" w:rsidRDefault="00C866C4" w:rsidP="00FF70AE">
            <w:pPr>
              <w:pStyle w:val="ListParagraph"/>
              <w:numPr>
                <w:ilvl w:val="0"/>
                <w:numId w:val="20"/>
              </w:numPr>
              <w:rPr>
                <w:rFonts w:asciiTheme="minorHAnsi" w:hAnsiTheme="minorHAnsi" w:cstheme="minorHAnsi"/>
                <w:sz w:val="22"/>
                <w:szCs w:val="22"/>
              </w:rPr>
            </w:pPr>
            <w:r w:rsidRPr="00C866C4">
              <w:rPr>
                <w:rFonts w:asciiTheme="minorHAnsi" w:hAnsiTheme="minorHAnsi" w:cstheme="minorHAnsi"/>
                <w:sz w:val="22"/>
                <w:szCs w:val="22"/>
              </w:rPr>
              <w:t>Can I solve problems involving simple unit fractions and some simple non-unit fractions, using practical resources and making links to division?</w:t>
            </w:r>
          </w:p>
          <w:p w:rsidR="00C866C4" w:rsidRPr="00C866C4" w:rsidRDefault="00C866C4" w:rsidP="00FF70AE">
            <w:pPr>
              <w:pStyle w:val="ListParagraph"/>
              <w:numPr>
                <w:ilvl w:val="0"/>
                <w:numId w:val="20"/>
              </w:numPr>
              <w:rPr>
                <w:rFonts w:asciiTheme="minorHAnsi" w:hAnsiTheme="minorHAnsi" w:cstheme="minorHAnsi"/>
                <w:sz w:val="22"/>
                <w:szCs w:val="22"/>
              </w:rPr>
            </w:pPr>
            <w:r w:rsidRPr="00C866C4">
              <w:rPr>
                <w:rFonts w:asciiTheme="minorHAnsi" w:hAnsiTheme="minorHAnsi" w:cstheme="minorHAnsi"/>
                <w:sz w:val="22"/>
                <w:szCs w:val="22"/>
              </w:rPr>
              <w:t>Can I recognize and explain some simple equivalent fractions (e.g. 2/4 =1/2,) using a range of resources to help me.</w:t>
            </w:r>
          </w:p>
          <w:p w:rsidR="00C866C4" w:rsidRPr="00C866C4" w:rsidRDefault="00C866C4" w:rsidP="00FF70AE">
            <w:pPr>
              <w:pStyle w:val="ListParagraph"/>
              <w:numPr>
                <w:ilvl w:val="0"/>
                <w:numId w:val="20"/>
              </w:numPr>
              <w:rPr>
                <w:rFonts w:asciiTheme="minorHAnsi" w:hAnsiTheme="minorHAnsi" w:cstheme="minorHAnsi"/>
                <w:sz w:val="22"/>
                <w:szCs w:val="22"/>
              </w:rPr>
            </w:pPr>
            <w:r w:rsidRPr="00C866C4">
              <w:rPr>
                <w:rFonts w:asciiTheme="minorHAnsi" w:hAnsiTheme="minorHAnsi" w:cstheme="minorHAnsi"/>
                <w:sz w:val="22"/>
                <w:szCs w:val="22"/>
              </w:rPr>
              <w:t>Can I continue to place fractions that I know correctly along a number line?</w:t>
            </w:r>
          </w:p>
          <w:p w:rsidR="00FF70AE" w:rsidRPr="00C866C4" w:rsidRDefault="00C866C4" w:rsidP="00FF70AE">
            <w:pPr>
              <w:pStyle w:val="ListParagraph"/>
              <w:numPr>
                <w:ilvl w:val="0"/>
                <w:numId w:val="20"/>
              </w:numPr>
              <w:rPr>
                <w:rFonts w:asciiTheme="minorHAnsi" w:hAnsiTheme="minorHAnsi" w:cstheme="minorHAnsi"/>
                <w:sz w:val="22"/>
                <w:szCs w:val="22"/>
              </w:rPr>
            </w:pPr>
            <w:r w:rsidRPr="00C866C4">
              <w:rPr>
                <w:rFonts w:asciiTheme="minorHAnsi" w:hAnsiTheme="minorHAnsi" w:cstheme="minorHAnsi"/>
                <w:sz w:val="22"/>
                <w:szCs w:val="22"/>
              </w:rPr>
              <w:t xml:space="preserve">Can I apply my knowledge of fractions to my work in measures (including time)?   </w:t>
            </w:r>
            <w:r w:rsidR="00FF70AE" w:rsidRPr="00C866C4">
              <w:rPr>
                <w:rFonts w:asciiTheme="minorHAnsi" w:hAnsiTheme="minorHAnsi" w:cstheme="minorHAnsi"/>
                <w:sz w:val="22"/>
                <w:szCs w:val="22"/>
              </w:rPr>
              <w:t xml:space="preserve"> </w:t>
            </w:r>
          </w:p>
          <w:p w:rsidR="00FF70AE" w:rsidRPr="00FF70AE" w:rsidRDefault="00FF70AE" w:rsidP="00FF70AE">
            <w:pPr>
              <w:ind w:left="360"/>
              <w:rPr>
                <w:rFonts w:asciiTheme="minorHAnsi" w:hAnsiTheme="minorHAnsi" w:cstheme="minorHAnsi"/>
                <w:b/>
              </w:rPr>
            </w:pPr>
          </w:p>
        </w:tc>
        <w:tc>
          <w:tcPr>
            <w:tcW w:w="5205" w:type="dxa"/>
          </w:tcPr>
          <w:p w:rsidR="00FF70AE" w:rsidRPr="00C866C4" w:rsidRDefault="00FF70AE" w:rsidP="00FF70AE">
            <w:pPr>
              <w:rPr>
                <w:rFonts w:asciiTheme="minorHAnsi" w:hAnsiTheme="minorHAnsi" w:cstheme="minorHAnsi"/>
                <w:b/>
              </w:rPr>
            </w:pPr>
            <w:r w:rsidRPr="00C866C4">
              <w:rPr>
                <w:rFonts w:asciiTheme="minorHAnsi" w:hAnsiTheme="minorHAnsi" w:cstheme="minorHAnsi"/>
                <w:b/>
              </w:rPr>
              <w:t xml:space="preserve">Key questions: </w:t>
            </w:r>
          </w:p>
          <w:p w:rsidR="00C866C4" w:rsidRPr="00C866C4" w:rsidRDefault="00C866C4" w:rsidP="00C866C4">
            <w:pPr>
              <w:pStyle w:val="Default"/>
              <w:numPr>
                <w:ilvl w:val="0"/>
                <w:numId w:val="18"/>
              </w:numPr>
              <w:rPr>
                <w:rFonts w:asciiTheme="minorHAnsi" w:hAnsiTheme="minorHAnsi" w:cstheme="minorHAnsi"/>
                <w:sz w:val="22"/>
                <w:szCs w:val="22"/>
                <w:lang w:val="en-US"/>
              </w:rPr>
            </w:pPr>
            <w:r w:rsidRPr="00C866C4">
              <w:rPr>
                <w:rFonts w:asciiTheme="minorHAnsi" w:hAnsiTheme="minorHAnsi" w:cstheme="minorHAnsi"/>
                <w:sz w:val="22"/>
                <w:szCs w:val="22"/>
              </w:rPr>
              <w:t xml:space="preserve">Can I count to ten on a number line in steps of </w:t>
            </w:r>
            <w:r w:rsidRPr="00C866C4">
              <w:rPr>
                <w:rFonts w:asciiTheme="minorHAnsi" w:hAnsiTheme="minorHAnsi" w:cstheme="minorHAnsi"/>
                <w:sz w:val="22"/>
                <w:szCs w:val="22"/>
                <w:lang w:val="en-US"/>
              </w:rPr>
              <w:t>¼ and ½?</w:t>
            </w:r>
          </w:p>
          <w:p w:rsidR="00C866C4" w:rsidRPr="00C866C4" w:rsidRDefault="00C866C4" w:rsidP="00C866C4">
            <w:pPr>
              <w:pStyle w:val="Default"/>
              <w:numPr>
                <w:ilvl w:val="0"/>
                <w:numId w:val="18"/>
              </w:numPr>
              <w:rPr>
                <w:rFonts w:asciiTheme="minorHAnsi" w:hAnsiTheme="minorHAnsi" w:cstheme="minorHAnsi"/>
                <w:sz w:val="22"/>
                <w:szCs w:val="22"/>
                <w:lang w:val="en-US"/>
              </w:rPr>
            </w:pPr>
            <w:r w:rsidRPr="00C866C4">
              <w:rPr>
                <w:rFonts w:asciiTheme="minorHAnsi" w:hAnsiTheme="minorHAnsi" w:cstheme="minorHAnsi"/>
                <w:sz w:val="22"/>
                <w:szCs w:val="22"/>
                <w:lang w:val="en-US"/>
              </w:rPr>
              <w:t xml:space="preserve">Can I confidently solve problems involving the fractions I know, using resources and representations to help me? </w:t>
            </w:r>
          </w:p>
          <w:p w:rsidR="00C866C4" w:rsidRPr="00C866C4" w:rsidRDefault="00C866C4" w:rsidP="00C866C4">
            <w:pPr>
              <w:pStyle w:val="Default"/>
              <w:ind w:left="360"/>
              <w:rPr>
                <w:rFonts w:asciiTheme="minorHAnsi" w:hAnsiTheme="minorHAnsi" w:cstheme="minorHAnsi"/>
                <w:sz w:val="18"/>
                <w:szCs w:val="18"/>
                <w:lang w:val="en-US"/>
              </w:rPr>
            </w:pPr>
          </w:p>
          <w:p w:rsidR="00C866C4" w:rsidRDefault="00C866C4" w:rsidP="00C866C4">
            <w:pPr>
              <w:ind w:left="360"/>
            </w:pPr>
          </w:p>
        </w:tc>
      </w:tr>
    </w:tbl>
    <w:p w:rsidR="001A6FBB" w:rsidRDefault="001A6FBB" w:rsidP="00C247D2"/>
    <w:sectPr w:rsidR="001A6FBB"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60" w:rsidRDefault="00D14960" w:rsidP="00FC1858">
      <w:r>
        <w:separator/>
      </w:r>
    </w:p>
  </w:endnote>
  <w:endnote w:type="continuationSeparator" w:id="0">
    <w:p w:rsidR="00D14960" w:rsidRDefault="00D14960" w:rsidP="00FC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60" w:rsidRDefault="00D14960" w:rsidP="00FC1858">
      <w:r>
        <w:separator/>
      </w:r>
    </w:p>
  </w:footnote>
  <w:footnote w:type="continuationSeparator" w:id="0">
    <w:p w:rsidR="00D14960" w:rsidRDefault="00D14960" w:rsidP="00FC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858" w:rsidRDefault="001B4D99">
    <w:pPr>
      <w:pStyle w:val="Header"/>
    </w:pPr>
    <w:r>
      <w:rPr>
        <w:rFonts w:cs="Arial"/>
      </w:rPr>
      <w:t>©</w:t>
    </w:r>
    <w:r>
      <w:t xml:space="preserve"> </w:t>
    </w:r>
    <w:r w:rsidR="00FC1858">
      <w:t xml:space="preserve">August 2015 Hart and </w:t>
    </w:r>
    <w:proofErr w:type="spellStart"/>
    <w:r w:rsidR="00FC1858">
      <w:t>Rushmoor</w:t>
    </w:r>
    <w:proofErr w:type="spellEnd"/>
    <w:r w:rsidR="00FC1858">
      <w:t xml:space="preserve"> planning / assessment</w:t>
    </w:r>
  </w:p>
  <w:p w:rsidR="00FC1858" w:rsidRDefault="00FC1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908"/>
    <w:multiLevelType w:val="hybridMultilevel"/>
    <w:tmpl w:val="E36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67706"/>
    <w:multiLevelType w:val="hybridMultilevel"/>
    <w:tmpl w:val="F6E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A0962"/>
    <w:multiLevelType w:val="hybridMultilevel"/>
    <w:tmpl w:val="4D0A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01763"/>
    <w:multiLevelType w:val="hybridMultilevel"/>
    <w:tmpl w:val="055A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E5F44"/>
    <w:multiLevelType w:val="hybridMultilevel"/>
    <w:tmpl w:val="F95E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91083"/>
    <w:multiLevelType w:val="hybridMultilevel"/>
    <w:tmpl w:val="2702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D7FB9"/>
    <w:multiLevelType w:val="hybridMultilevel"/>
    <w:tmpl w:val="43B24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0664A0"/>
    <w:multiLevelType w:val="hybridMultilevel"/>
    <w:tmpl w:val="45D4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E73C7"/>
    <w:multiLevelType w:val="hybridMultilevel"/>
    <w:tmpl w:val="D816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A643A"/>
    <w:multiLevelType w:val="hybridMultilevel"/>
    <w:tmpl w:val="CD2A4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5370281"/>
    <w:multiLevelType w:val="hybridMultilevel"/>
    <w:tmpl w:val="821848F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nsid w:val="463061BB"/>
    <w:multiLevelType w:val="hybridMultilevel"/>
    <w:tmpl w:val="1BB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F238D"/>
    <w:multiLevelType w:val="hybridMultilevel"/>
    <w:tmpl w:val="D67C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7A73CF"/>
    <w:multiLevelType w:val="hybridMultilevel"/>
    <w:tmpl w:val="EDF80194"/>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4">
    <w:nsid w:val="5BC13C16"/>
    <w:multiLevelType w:val="hybridMultilevel"/>
    <w:tmpl w:val="A94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6">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6D4A7D3F"/>
    <w:multiLevelType w:val="hybridMultilevel"/>
    <w:tmpl w:val="7BF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3E2DFC"/>
    <w:multiLevelType w:val="hybridMultilevel"/>
    <w:tmpl w:val="C43E19E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574C88"/>
    <w:multiLevelType w:val="hybridMultilevel"/>
    <w:tmpl w:val="ED3E15A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5"/>
  </w:num>
  <w:num w:numId="4">
    <w:abstractNumId w:val="16"/>
  </w:num>
  <w:num w:numId="5">
    <w:abstractNumId w:val="14"/>
  </w:num>
  <w:num w:numId="6">
    <w:abstractNumId w:val="11"/>
  </w:num>
  <w:num w:numId="7">
    <w:abstractNumId w:val="19"/>
  </w:num>
  <w:num w:numId="8">
    <w:abstractNumId w:val="20"/>
  </w:num>
  <w:num w:numId="9">
    <w:abstractNumId w:val="9"/>
  </w:num>
  <w:num w:numId="10">
    <w:abstractNumId w:val="3"/>
  </w:num>
  <w:num w:numId="11">
    <w:abstractNumId w:val="1"/>
  </w:num>
  <w:num w:numId="12">
    <w:abstractNumId w:val="10"/>
  </w:num>
  <w:num w:numId="13">
    <w:abstractNumId w:val="5"/>
  </w:num>
  <w:num w:numId="14">
    <w:abstractNumId w:val="6"/>
  </w:num>
  <w:num w:numId="15">
    <w:abstractNumId w:val="2"/>
  </w:num>
  <w:num w:numId="16">
    <w:abstractNumId w:val="0"/>
  </w:num>
  <w:num w:numId="17">
    <w:abstractNumId w:val="17"/>
  </w:num>
  <w:num w:numId="18">
    <w:abstractNumId w:val="12"/>
  </w:num>
  <w:num w:numId="19">
    <w:abstractNumId w:val="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1A6FBB"/>
    <w:rsid w:val="001B4D99"/>
    <w:rsid w:val="002A3254"/>
    <w:rsid w:val="004369D1"/>
    <w:rsid w:val="008124DB"/>
    <w:rsid w:val="0083560C"/>
    <w:rsid w:val="00884AF3"/>
    <w:rsid w:val="00887021"/>
    <w:rsid w:val="008B21B6"/>
    <w:rsid w:val="008F7BD0"/>
    <w:rsid w:val="009A0C2E"/>
    <w:rsid w:val="00A765D4"/>
    <w:rsid w:val="00B10089"/>
    <w:rsid w:val="00BF1B92"/>
    <w:rsid w:val="00C247D2"/>
    <w:rsid w:val="00C7386A"/>
    <w:rsid w:val="00C866C4"/>
    <w:rsid w:val="00D034EA"/>
    <w:rsid w:val="00D14960"/>
    <w:rsid w:val="00D818ED"/>
    <w:rsid w:val="00DF501D"/>
    <w:rsid w:val="00E80B39"/>
    <w:rsid w:val="00FC1858"/>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1A6FBB"/>
    <w:rPr>
      <w:rFonts w:ascii="Tahoma" w:hAnsi="Tahoma" w:cs="Tahoma"/>
      <w:sz w:val="16"/>
      <w:szCs w:val="16"/>
    </w:rPr>
  </w:style>
  <w:style w:type="character" w:customStyle="1" w:styleId="BalloonTextChar">
    <w:name w:val="Balloon Text Char"/>
    <w:basedOn w:val="DefaultParagraphFont"/>
    <w:link w:val="BalloonText"/>
    <w:uiPriority w:val="99"/>
    <w:semiHidden/>
    <w:rsid w:val="001A6FBB"/>
    <w:rPr>
      <w:rFonts w:ascii="Tahoma" w:eastAsia="Times New Roman" w:hAnsi="Tahoma" w:cs="Tahoma"/>
      <w:sz w:val="16"/>
      <w:szCs w:val="16"/>
      <w:lang w:val="en-US"/>
    </w:rPr>
  </w:style>
  <w:style w:type="paragraph" w:styleId="Header">
    <w:name w:val="header"/>
    <w:basedOn w:val="Normal"/>
    <w:link w:val="HeaderChar"/>
    <w:uiPriority w:val="99"/>
    <w:unhideWhenUsed/>
    <w:rsid w:val="00FC1858"/>
    <w:pPr>
      <w:tabs>
        <w:tab w:val="center" w:pos="4513"/>
        <w:tab w:val="right" w:pos="9026"/>
      </w:tabs>
    </w:pPr>
  </w:style>
  <w:style w:type="character" w:customStyle="1" w:styleId="HeaderChar">
    <w:name w:val="Header Char"/>
    <w:basedOn w:val="DefaultParagraphFont"/>
    <w:link w:val="Header"/>
    <w:uiPriority w:val="99"/>
    <w:rsid w:val="00FC1858"/>
    <w:rPr>
      <w:rFonts w:ascii="Arial" w:eastAsia="Times New Roman" w:hAnsi="Arial" w:cs="Times New Roman"/>
      <w:sz w:val="24"/>
      <w:szCs w:val="24"/>
      <w:lang w:val="en-US"/>
    </w:rPr>
  </w:style>
  <w:style w:type="paragraph" w:styleId="Footer">
    <w:name w:val="footer"/>
    <w:basedOn w:val="Normal"/>
    <w:link w:val="FooterChar"/>
    <w:uiPriority w:val="99"/>
    <w:unhideWhenUsed/>
    <w:rsid w:val="00FC1858"/>
    <w:pPr>
      <w:tabs>
        <w:tab w:val="center" w:pos="4513"/>
        <w:tab w:val="right" w:pos="9026"/>
      </w:tabs>
    </w:pPr>
  </w:style>
  <w:style w:type="character" w:customStyle="1" w:styleId="FooterChar">
    <w:name w:val="Footer Char"/>
    <w:basedOn w:val="DefaultParagraphFont"/>
    <w:link w:val="Footer"/>
    <w:uiPriority w:val="99"/>
    <w:rsid w:val="00FC1858"/>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BalloonText">
    <w:name w:val="Balloon Text"/>
    <w:basedOn w:val="Normal"/>
    <w:link w:val="BalloonTextChar"/>
    <w:uiPriority w:val="99"/>
    <w:semiHidden/>
    <w:unhideWhenUsed/>
    <w:rsid w:val="001A6FBB"/>
    <w:rPr>
      <w:rFonts w:ascii="Tahoma" w:hAnsi="Tahoma" w:cs="Tahoma"/>
      <w:sz w:val="16"/>
      <w:szCs w:val="16"/>
    </w:rPr>
  </w:style>
  <w:style w:type="character" w:customStyle="1" w:styleId="BalloonTextChar">
    <w:name w:val="Balloon Text Char"/>
    <w:basedOn w:val="DefaultParagraphFont"/>
    <w:link w:val="BalloonText"/>
    <w:uiPriority w:val="99"/>
    <w:semiHidden/>
    <w:rsid w:val="001A6FBB"/>
    <w:rPr>
      <w:rFonts w:ascii="Tahoma" w:eastAsia="Times New Roman" w:hAnsi="Tahoma" w:cs="Tahoma"/>
      <w:sz w:val="16"/>
      <w:szCs w:val="16"/>
      <w:lang w:val="en-US"/>
    </w:rPr>
  </w:style>
  <w:style w:type="paragraph" w:styleId="Header">
    <w:name w:val="header"/>
    <w:basedOn w:val="Normal"/>
    <w:link w:val="HeaderChar"/>
    <w:uiPriority w:val="99"/>
    <w:unhideWhenUsed/>
    <w:rsid w:val="00FC1858"/>
    <w:pPr>
      <w:tabs>
        <w:tab w:val="center" w:pos="4513"/>
        <w:tab w:val="right" w:pos="9026"/>
      </w:tabs>
    </w:pPr>
  </w:style>
  <w:style w:type="character" w:customStyle="1" w:styleId="HeaderChar">
    <w:name w:val="Header Char"/>
    <w:basedOn w:val="DefaultParagraphFont"/>
    <w:link w:val="Header"/>
    <w:uiPriority w:val="99"/>
    <w:rsid w:val="00FC1858"/>
    <w:rPr>
      <w:rFonts w:ascii="Arial" w:eastAsia="Times New Roman" w:hAnsi="Arial" w:cs="Times New Roman"/>
      <w:sz w:val="24"/>
      <w:szCs w:val="24"/>
      <w:lang w:val="en-US"/>
    </w:rPr>
  </w:style>
  <w:style w:type="paragraph" w:styleId="Footer">
    <w:name w:val="footer"/>
    <w:basedOn w:val="Normal"/>
    <w:link w:val="FooterChar"/>
    <w:uiPriority w:val="99"/>
    <w:unhideWhenUsed/>
    <w:rsid w:val="00FC1858"/>
    <w:pPr>
      <w:tabs>
        <w:tab w:val="center" w:pos="4513"/>
        <w:tab w:val="right" w:pos="9026"/>
      </w:tabs>
    </w:pPr>
  </w:style>
  <w:style w:type="character" w:customStyle="1" w:styleId="FooterChar">
    <w:name w:val="Footer Char"/>
    <w:basedOn w:val="DefaultParagraphFont"/>
    <w:link w:val="Footer"/>
    <w:uiPriority w:val="99"/>
    <w:rsid w:val="00FC1858"/>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16</cp:revision>
  <cp:lastPrinted>2015-03-22T23:43:00Z</cp:lastPrinted>
  <dcterms:created xsi:type="dcterms:W3CDTF">2015-03-22T17:41:00Z</dcterms:created>
  <dcterms:modified xsi:type="dcterms:W3CDTF">2015-08-10T21:36:00Z</dcterms:modified>
</cp:coreProperties>
</file>